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Acrivon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Sands Capital Life Sciences Pulse Fund 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2,289,271.00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2,289,271.00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2,289,271.00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42,853,362 Shares outstanding as of August 7, 2026 (according to the Issuer's Form 10-Q as filed with the Securities and Exchange Commission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Sands Capital Alternatives,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2,289,271.00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2,289,271.00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2,289,271.00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42,853,362 Shares outstanding as of August 7, 2026 (according to the Issuer's Form 10-Q as filed with the Securities and Exchange Commission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SANDS FRANK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2,289,271.00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2,289,271.00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2,289,271.00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42,853,362 Shares outstanding as of August 7, 2026 (according to the Issuer's Form 10-Q as filed with the Securities and Exchange Commission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Acrivon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ARSENAL WAY, SUITE 100, 480 ARSENAL WAY, SUITE 100, WATERTOWN, MASSACHUSETTS, 02472.</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13G is being filed jointly by: (i) Sands Capital Life Sciences Pulse Fund II, L.P. ("Sands Pulse Fund II"), with respect to the shares of Common Stock held by it; (ii) Sands Capital Alternatives, LLC ("Sands Capital Alternatives"), the investment manager of Sands Pulse Fund II, with respect to the shares of common Stock held by Sands Pulse Fund II; and (iii) Frank M. Sands ("Sands"), with respect to the shares of Common Stock held by Sands Pulse Fund II. Sands Pulse Fund II, Sands Capital Alternatives and Sands are together referred to herein as the "Reporting Persons". Sands Capital Life Sciences Pulse Fund II-GP, L.P. ("Sands Pulse GP LP") is the general partner of Sands Pulse Fund II. Sands Capital Life Sciences Pulse Fund-GP, LLC ("Sands Pulse GP LLC" and, together with Sands Pulse GP LP, the "Sands General Partners") is the general partner of Sands Pulse GP LP. Sands Capital Alternatives is the investment manager of Sands Pulse Fund II and thus may be deemed to beneficially own the shares of Common Stock held by Sands Pulse Fund II. Sands holds ultimate voting and investment power over securities held by Sands Pulse Fund II, and thus may be deemed to beneficially own the shares of Common Stock held by Sands Pulse Fund II. Each Reporting Person and the Sands General Partners disclaim beneficial ownership of any securities beyond its pecuniary interest therein.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and the Sands General Partners is 1000 Wilson Blvd., Suite 3000, Arlington, VA 22209.</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Sands Pulse Fund II and Sands Pulse GP LP are organized under the laws of the Cayman Islands. Sands Capital Alternatives and Sands Pulse GP LLC are organized under the laws of Delaware. Sands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rows 5 through 11 of cover pages.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rows 5 through 11 of cover pages.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rows 5 through 11 of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rows 5 through 11 of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rows 5 through 11 of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rows 5 through 11 of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Sands Capital Life Sciences Pulse Fund II,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Jonathan Goodman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Jonathan Goodman, General Counsel of the GP of the GP of Sands Capital Life Sciences Pulse Fund II,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Sands Capital Alternatives, LLC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Jonathan Goodman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Jonathan Goodman, General Counsel</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SANDS FRANK M.</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8"/>
        <w:gridCol w:w="4487"/>
      </w:tblGrid>
      <w:tr>
        <w:trPr/>
        <w:tc>
          <w:tcPr>
            <w:tcW w:w="57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Frank M. Sands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Frank M. Sands</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Sands Capital Life Sciences Pulse Fund II, L.P. signed by Sands Capital Life Sciences Pulse Fund II-GP, L.P., its general partner, by Sands Capital Life Sciences Pulse Fund II-GP, LLC, its general partner, by Jonathan Goodman, General Counsel.</w:t>
      </w:r>
    </w:p>
    <w:p>
      <w:pPr>
        <w:pStyle w:val="TextBody"/>
        <w:bidi w:val="0"/>
        <w:jc w:val="right"/>
        <w:rPr>
          <w:caps w:val="false"/>
          <w:smallCaps w:val="false"/>
        </w:rPr>
      </w:pPr>
      <w:bookmarkStart w:id="24" w:name="jointfilingstatementscvp.htm"/>
      <w:bookmarkStart w:id="25" w:name="ksjointfilingstatementscvp"/>
      <w:bookmarkEnd w:id="24"/>
      <w:bookmarkEnd w:id="25"/>
      <w:r>
        <w:rPr>
          <w:caps w:val="false"/>
          <w:smallCaps w:val="false"/>
        </w:rPr>
        <w:t> </w:t>
      </w:r>
      <w:r>
        <w:br w:type="page"/>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EXHIBIT 1</w:t>
      </w:r>
    </w:p>
    <w:p>
      <w:pPr>
        <w:pStyle w:val="TextBody"/>
        <w:bidi w:val="0"/>
        <w:jc w:val="righ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to</w:t>
      </w:r>
    </w:p>
    <w:p>
      <w:pPr>
        <w:pStyle w:val="TextBody"/>
        <w:bidi w:val="0"/>
        <w:jc w:val="righ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SCHEDULE 13G</w:t>
      </w:r>
    </w:p>
    <w:p>
      <w:pPr>
        <w:pStyle w:val="TextBody"/>
        <w:bidi w:val="0"/>
        <w:jc w:val="right"/>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JOINT ACQUISITION STATEMENT</w:t>
      </w:r>
    </w:p>
    <w:p>
      <w:pPr>
        <w:pStyle w:val="TextBody"/>
        <w:bidi w:val="0"/>
        <w:jc w:val="center"/>
        <w:rPr>
          <w:rFonts w:ascii="Times New Roman" w:hAnsi="Times New Roman"/>
          <w:b w:val="false"/>
          <w:i w:val="false"/>
          <w:caps w:val="false"/>
          <w:smallCaps w:val="false"/>
          <w:sz w:val="22"/>
          <w:bdr w:val="single" w:sz="2" w:space="1" w:color="000000"/>
        </w:rPr>
      </w:pPr>
      <w:r>
        <w:rPr>
          <w:rFonts w:ascii="Times New Roman" w:hAnsi="Times New Roman"/>
          <w:b w:val="false"/>
          <w:i w:val="false"/>
          <w:caps w:val="false"/>
          <w:smallCaps w:val="false"/>
          <w:sz w:val="22"/>
          <w:bdr w:val="single" w:sz="2" w:space="1" w:color="000000"/>
        </w:rPr>
        <w:t>PURSUANT TO SECTION 240.13d-1(k)</w:t>
      </w:r>
    </w:p>
    <w:p>
      <w:pPr>
        <w:pStyle w:val="TextBody"/>
        <w:bidi w:val="0"/>
        <w:jc w:val="righ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Dated:  August 13, 2026</w:t>
      </w:r>
    </w:p>
    <w:p>
      <w:pPr>
        <w:pStyle w:val="TextBody"/>
        <w:bidi w:val="0"/>
        <w:jc w:val="left"/>
        <w:rPr>
          <w:caps w:val="false"/>
          <w:smallCaps w:val="false"/>
        </w:rPr>
      </w:pPr>
      <w:r>
        <w:rPr>
          <w:caps w:val="false"/>
          <w:smallCaps w:val="false"/>
        </w:rPr>
        <w:t> </w:t>
      </w:r>
    </w:p>
    <w:tbl>
      <w:tblPr>
        <w:tblW w:w="7542" w:type="dxa"/>
        <w:jc w:val="left"/>
        <w:tblInd w:w="0" w:type="dxa"/>
        <w:tblLayout w:type="fixed"/>
        <w:tblCellMar>
          <w:top w:w="28" w:type="dxa"/>
          <w:left w:w="28" w:type="dxa"/>
          <w:bottom w:w="28" w:type="dxa"/>
          <w:right w:w="28" w:type="dxa"/>
        </w:tblCellMar>
      </w:tblPr>
      <w:tblGrid>
        <w:gridCol w:w="161"/>
        <w:gridCol w:w="7381"/>
      </w:tblGrid>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bottom w:val="single" w:sz="4" w:space="0" w:color="000000"/>
            </w:tcBorders>
            <w:tcMar>
              <w:top w:w="0" w:type="dxa"/>
              <w:left w:w="0" w:type="dxa"/>
              <w:right w:w="0" w:type="dxa"/>
            </w:tcMar>
          </w:tcPr>
          <w:p>
            <w:pPr>
              <w:pStyle w:val="TableContents"/>
              <w:bidi w:val="0"/>
              <w:jc w:val="both"/>
              <w:rPr>
                <w:rFonts w:ascii="Times New Roman" w:hAnsi="Times New Roman"/>
                <w:b/>
                <w:i w:val="false"/>
                <w:caps w:val="false"/>
                <w:smallCaps w:val="false"/>
                <w:sz w:val="24"/>
              </w:rPr>
            </w:pPr>
            <w:r>
              <w:rPr>
                <w:rFonts w:ascii="Times New Roman" w:hAnsi="Times New Roman"/>
                <w:b/>
                <w:i w:val="false"/>
                <w:caps w:val="false"/>
                <w:smallCaps w:val="false"/>
                <w:sz w:val="24"/>
              </w:rPr>
              <w:t>Sands Capital Life Sciences Pulse Fund II, L.P.</w:t>
            </w:r>
          </w:p>
          <w:p>
            <w:pPr>
              <w:pStyle w:val="TableContents"/>
              <w:bidi w:val="0"/>
              <w:jc w:val="both"/>
              <w:rPr>
                <w:caps w:val="false"/>
                <w:smallCaps w:val="false"/>
              </w:rPr>
            </w:pPr>
            <w:r>
              <w:rPr>
                <w:caps w:val="false"/>
                <w:smallCaps w:val="false"/>
              </w:rPr>
              <w:t> </w:t>
            </w:r>
          </w:p>
          <w:p>
            <w:pPr>
              <w:pStyle w:val="TableContents"/>
              <w:bidi w:val="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By: Sands Capital Life Sciences Pulse Fund II-GP, L.P., </w:t>
            </w:r>
            <w:r>
              <w:rPr>
                <w:rFonts w:ascii="Times New Roman" w:hAnsi="Times New Roman"/>
                <w:b w:val="false"/>
                <w:i/>
                <w:caps w:val="false"/>
                <w:smallCaps w:val="false"/>
                <w:sz w:val="24"/>
              </w:rPr>
              <w:t>its general partner</w:t>
            </w:r>
          </w:p>
          <w:p>
            <w:pPr>
              <w:pStyle w:val="TableContents"/>
              <w:bidi w:val="0"/>
              <w:jc w:val="both"/>
              <w:rPr>
                <w:caps w:val="false"/>
                <w:smallCaps w:val="false"/>
              </w:rPr>
            </w:pPr>
            <w:r>
              <w:rPr>
                <w:caps w:val="false"/>
                <w:smallCaps w:val="false"/>
              </w:rPr>
              <w:t> </w:t>
            </w:r>
          </w:p>
          <w:p>
            <w:pPr>
              <w:pStyle w:val="TableContents"/>
              <w:bidi w:val="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By: Sands Capital Life Sciences Pulse Fund II-GP, LLC, </w:t>
            </w:r>
            <w:r>
              <w:rPr>
                <w:rFonts w:ascii="Times New Roman" w:hAnsi="Times New Roman"/>
                <w:b w:val="false"/>
                <w:i/>
                <w:caps w:val="false"/>
                <w:smallCaps w:val="false"/>
                <w:sz w:val="24"/>
              </w:rPr>
              <w:t>its general partner</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By: /s/ Jonathan Goodman</w:t>
            </w:r>
          </w:p>
        </w:tc>
      </w:tr>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tcPr>
          <w:p>
            <w:pPr>
              <w:pStyle w:val="TableContents"/>
              <w:bidi w:val="0"/>
              <w:spacing w:before="0" w:after="283"/>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 Jonathan Goodman</w:t>
            </w:r>
          </w:p>
        </w:tc>
      </w:tr>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tcPr>
          <w:p>
            <w:pPr>
              <w:pStyle w:val="TableContents"/>
              <w:bidi w:val="0"/>
              <w:spacing w:before="0" w:after="283"/>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 General Counsel</w:t>
            </w:r>
          </w:p>
        </w:tc>
      </w:tr>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tcPr>
          <w:p>
            <w:pPr>
              <w:pStyle w:val="TableContents"/>
              <w:bidi w:val="0"/>
              <w:jc w:val="both"/>
              <w:rPr>
                <w:caps w:val="false"/>
                <w:smallCaps w:val="false"/>
              </w:rPr>
            </w:pPr>
            <w:r>
              <w:rPr>
                <w:caps w:val="false"/>
                <w:smallCaps w:val="false"/>
              </w:rPr>
              <w:t> </w:t>
            </w:r>
          </w:p>
          <w:p>
            <w:pPr>
              <w:pStyle w:val="TableContents"/>
              <w:bidi w:val="0"/>
              <w:jc w:val="both"/>
              <w:rPr>
                <w:rFonts w:ascii="Times New Roman" w:hAnsi="Times New Roman"/>
                <w:b/>
                <w:i w:val="false"/>
                <w:caps w:val="false"/>
                <w:smallCaps w:val="false"/>
                <w:sz w:val="24"/>
              </w:rPr>
            </w:pPr>
            <w:r>
              <w:rPr>
                <w:rFonts w:ascii="Times New Roman" w:hAnsi="Times New Roman"/>
                <w:b/>
                <w:i w:val="false"/>
                <w:caps w:val="false"/>
                <w:smallCaps w:val="false"/>
                <w:sz w:val="24"/>
              </w:rPr>
              <w:t>Sands Capital Alternatives, LLC</w:t>
            </w:r>
          </w:p>
          <w:p>
            <w:pPr>
              <w:pStyle w:val="TableContents"/>
              <w:bidi w:val="0"/>
              <w:spacing w:before="0" w:after="283"/>
              <w:jc w:val="both"/>
              <w:rPr>
                <w:caps w:val="false"/>
                <w:smallCaps w:val="false"/>
              </w:rPr>
            </w:pPr>
            <w:r>
              <w:rPr>
                <w:caps w:val="false"/>
                <w:smallCaps w:val="false"/>
              </w:rPr>
              <w:t> </w:t>
            </w:r>
          </w:p>
        </w:tc>
      </w:tr>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bottom w:val="single" w:sz="4" w:space="0" w:color="000000"/>
            </w:tcBorders>
            <w:tcMar>
              <w:top w:w="0" w:type="dxa"/>
              <w:left w:w="0" w:type="dxa"/>
              <w:right w:w="0" w:type="dxa"/>
            </w:tcMar>
          </w:tcPr>
          <w:p>
            <w:pPr>
              <w:pStyle w:val="TableContents"/>
              <w:bidi w:val="0"/>
              <w:spacing w:before="0" w:after="283"/>
              <w:jc w:val="both"/>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By: /s/ Jonathan Goodman</w:t>
            </w:r>
          </w:p>
        </w:tc>
      </w:tr>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top w:val="single" w:sz="4" w:space="0" w:color="000000"/>
              <w:bottom w:val="single" w:sz="4" w:space="0" w:color="000000"/>
            </w:tcBorders>
            <w:tcMar>
              <w:left w:w="0" w:type="dxa"/>
              <w:right w:w="0" w:type="dxa"/>
            </w:tcMar>
          </w:tcPr>
          <w:p>
            <w:pPr>
              <w:pStyle w:val="TableContents"/>
              <w:bidi w:val="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 Jonathan Goodman</w:t>
            </w:r>
          </w:p>
          <w:p>
            <w:pPr>
              <w:pStyle w:val="TableContents"/>
              <w:bidi w:val="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Title: General Counsel</w:t>
            </w:r>
          </w:p>
          <w:p>
            <w:pPr>
              <w:pStyle w:val="TableContents"/>
              <w:bidi w:val="0"/>
              <w:jc w:val="both"/>
              <w:rPr>
                <w:caps w:val="false"/>
                <w:smallCaps w:val="false"/>
              </w:rPr>
            </w:pPr>
            <w:r>
              <w:rPr>
                <w:caps w:val="false"/>
                <w:smallCaps w:val="false"/>
              </w:rPr>
              <w:t> </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 /s/ Frank M. Sands</w:t>
            </w:r>
          </w:p>
        </w:tc>
      </w:tr>
      <w:tr>
        <w:trPr/>
        <w:tc>
          <w:tcPr>
            <w:tcW w:w="161" w:type="dxa"/>
            <w:tcBorders/>
          </w:tcPr>
          <w:p>
            <w:pPr>
              <w:pStyle w:val="TableContents"/>
              <w:bidi w:val="0"/>
              <w:spacing w:before="0" w:after="283"/>
              <w:jc w:val="both"/>
              <w:rPr>
                <w:caps w:val="false"/>
                <w:smallCaps w:val="false"/>
              </w:rPr>
            </w:pPr>
            <w:r>
              <w:rPr>
                <w:caps w:val="false"/>
                <w:smallCaps w:val="false"/>
              </w:rPr>
              <w:t> </w:t>
            </w:r>
          </w:p>
        </w:tc>
        <w:tc>
          <w:tcPr>
            <w:tcW w:w="7381" w:type="dxa"/>
            <w:tcBorders>
              <w:top w:val="single" w:sz="4" w:space="0" w:color="000000"/>
            </w:tcBorders>
            <w:tcMar>
              <w:left w:w="0" w:type="dxa"/>
              <w:bottom w:w="0" w:type="dxa"/>
              <w:right w:w="0" w:type="dxa"/>
            </w:tcMar>
          </w:tcPr>
          <w:p>
            <w:pPr>
              <w:pStyle w:val="TableContents"/>
              <w:bidi w:val="0"/>
              <w:spacing w:before="0" w:after="283"/>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Name: Frank M. Sands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1707</Words>
  <Characters>8745</Characters>
  <CharactersWithSpaces>10410</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