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47579ds8.htm"/>
      <w:bookmarkStart w:id="1" w:name="ksd47579ds8"/>
      <w:bookmarkEnd w:id="0"/>
      <w:bookmarkEnd w:id="1"/>
      <w:r>
        <w:rPr>
          <w:rFonts w:ascii="Times New Roman" w:hAnsi="Times New Roman"/>
          <w:b/>
          <w:sz w:val="20"/>
        </w:rPr>
        <w:t xml:space="preserve">As filed with the Securities and Exchange Commission on August 12,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ACRIVON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82-5125532</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480 Arsenal Way, Suite 100 </w:t>
      </w:r>
    </w:p>
    <w:p>
      <w:pPr>
        <w:pStyle w:val="TextBody"/>
        <w:bidi w:val="0"/>
        <w:spacing w:before="0" w:after="0"/>
        <w:jc w:val="center"/>
        <w:rPr>
          <w:rFonts w:ascii="Times New Roman" w:hAnsi="Times New Roman"/>
          <w:b/>
          <w:sz w:val="20"/>
        </w:rPr>
      </w:pPr>
      <w:r>
        <w:rPr>
          <w:rFonts w:ascii="Times New Roman" w:hAnsi="Times New Roman"/>
          <w:b/>
          <w:sz w:val="20"/>
        </w:rPr>
        <w:t xml:space="preserve">Watertown, Massachusetts 02472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(Zip code) </w:t>
      </w:r>
    </w:p>
    <w:p>
      <w:pPr>
        <w:pStyle w:val="TextBody"/>
        <w:bidi w:val="0"/>
        <w:spacing w:before="240" w:after="0"/>
        <w:jc w:val="center"/>
        <w:rPr>
          <w:rFonts w:ascii="Times New Roman" w:hAnsi="Times New Roman"/>
          <w:b/>
          <w:sz w:val="20"/>
        </w:rPr>
      </w:pPr>
      <w:r>
        <w:rPr>
          <w:rFonts w:ascii="Times New Roman" w:hAnsi="Times New Roman"/>
          <w:b/>
          <w:sz w:val="20"/>
        </w:rPr>
        <w:t xml:space="preserve">Acrivon Therapeutics, Inc. Amended and Restated 2022 Equity Incentive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 </w:t>
      </w:r>
    </w:p>
    <w:p>
      <w:pPr>
        <w:pStyle w:val="TextBody"/>
        <w:bidi w:val="0"/>
        <w:spacing w:before="240" w:after="0"/>
        <w:jc w:val="center"/>
        <w:rPr>
          <w:rFonts w:ascii="Times New Roman" w:hAnsi="Times New Roman"/>
          <w:b/>
          <w:sz w:val="20"/>
        </w:rPr>
      </w:pPr>
      <w:r>
        <w:rPr>
          <w:rFonts w:ascii="Times New Roman" w:hAnsi="Times New Roman"/>
          <w:b/>
          <w:sz w:val="20"/>
        </w:rPr>
        <w:t xml:space="preserve">Peter Blume-Jensen, M.D., Ph.D. </w:t>
      </w:r>
    </w:p>
    <w:p>
      <w:pPr>
        <w:pStyle w:val="TextBody"/>
        <w:bidi w:val="0"/>
        <w:spacing w:before="0" w:after="0"/>
        <w:jc w:val="center"/>
        <w:rPr>
          <w:rFonts w:ascii="Times New Roman" w:hAnsi="Times New Roman"/>
          <w:b/>
          <w:sz w:val="20"/>
        </w:rPr>
      </w:pPr>
      <w:r>
        <w:rPr>
          <w:rFonts w:ascii="Times New Roman" w:hAnsi="Times New Roman"/>
          <w:b/>
          <w:sz w:val="20"/>
        </w:rPr>
        <w:t xml:space="preserve">Chief Executive Officer and President </w:t>
      </w:r>
    </w:p>
    <w:p>
      <w:pPr>
        <w:pStyle w:val="TextBody"/>
        <w:bidi w:val="0"/>
        <w:spacing w:before="0" w:after="0"/>
        <w:jc w:val="center"/>
        <w:rPr>
          <w:rFonts w:ascii="Times New Roman" w:hAnsi="Times New Roman"/>
          <w:b/>
          <w:sz w:val="20"/>
        </w:rPr>
      </w:pPr>
      <w:r>
        <w:rPr>
          <w:rFonts w:ascii="Times New Roman" w:hAnsi="Times New Roman"/>
          <w:b/>
          <w:sz w:val="20"/>
        </w:rPr>
        <w:t xml:space="preserve">Acrivon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480 Arsenal Way, Suite 100 </w:t>
      </w:r>
    </w:p>
    <w:p>
      <w:pPr>
        <w:pStyle w:val="TextBody"/>
        <w:bidi w:val="0"/>
        <w:spacing w:before="0" w:after="0"/>
        <w:jc w:val="center"/>
        <w:rPr>
          <w:rFonts w:ascii="Times New Roman" w:hAnsi="Times New Roman"/>
          <w:b/>
          <w:sz w:val="20"/>
        </w:rPr>
      </w:pPr>
      <w:r>
        <w:rPr>
          <w:rFonts w:ascii="Times New Roman" w:hAnsi="Times New Roman"/>
          <w:b/>
          <w:sz w:val="20"/>
        </w:rPr>
        <w:t xml:space="preserve">Watertown, Massachusetts 02472 </w:t>
      </w:r>
    </w:p>
    <w:p>
      <w:pPr>
        <w:pStyle w:val="TextBody"/>
        <w:bidi w:val="0"/>
        <w:spacing w:before="0" w:after="0"/>
        <w:jc w:val="center"/>
        <w:rPr>
          <w:rFonts w:ascii="Times New Roman" w:hAnsi="Times New Roman"/>
          <w:b/>
          <w:sz w:val="16"/>
        </w:rPr>
      </w:pPr>
      <w:r>
        <w:rPr>
          <w:rFonts w:ascii="Times New Roman" w:hAnsi="Times New Roman"/>
          <w:b/>
          <w:sz w:val="16"/>
        </w:rPr>
        <w:t xml:space="preserve">(Name and address of agent for service) </w:t>
      </w:r>
    </w:p>
    <w:p>
      <w:pPr>
        <w:pStyle w:val="TextBody"/>
        <w:bidi w:val="0"/>
        <w:spacing w:before="240" w:after="0"/>
        <w:jc w:val="center"/>
        <w:rPr>
          <w:rFonts w:ascii="Times New Roman" w:hAnsi="Times New Roman"/>
          <w:b/>
          <w:sz w:val="20"/>
        </w:rPr>
      </w:pPr>
      <w:r>
        <w:rPr>
          <w:rFonts w:ascii="Times New Roman" w:hAnsi="Times New Roman"/>
          <w:b/>
          <w:sz w:val="20"/>
        </w:rPr>
        <w:t xml:space="preserve">(617) 207-8979 </w:t>
      </w:r>
    </w:p>
    <w:p>
      <w:pPr>
        <w:pStyle w:val="TextBody"/>
        <w:bidi w:val="0"/>
        <w:spacing w:before="0" w:after="0"/>
        <w:jc w:val="center"/>
        <w:rPr>
          <w:rFonts w:ascii="Times New Roman" w:hAnsi="Times New Roman"/>
          <w:b/>
          <w:sz w:val="16"/>
        </w:rPr>
      </w:pPr>
      <w:r>
        <w:rPr>
          <w:rFonts w:ascii="Times New Roman" w:hAnsi="Times New Roman"/>
          <w:b/>
          <w:sz w:val="16"/>
        </w:rPr>
        <w:t xml:space="preserve">(Telephone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7"/>
        <w:gridCol w:w="103"/>
        <w:gridCol w:w="4849"/>
        <w:gridCol w:w="123"/>
        <w:gridCol w:w="2640"/>
        <w:gridCol w:w="103"/>
        <w:gridCol w:w="250"/>
      </w:tblGrid>
      <w:tr>
        <w:trPr/>
        <w:tc>
          <w:tcPr>
            <w:tcW w:w="213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4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pPr>
      <w:r>
        <w:rPr>
          <w:rFonts w:ascii="Times New Roman" w:hAnsi="Times New Roman"/>
          <w:sz w:val="20"/>
        </w:rPr>
        <w:t xml:space="preserve">Acrivon Therapeutics, Inc. (the “Registrant”) is filing this Registration Statement on Form S-8 for the purpose of registering 3,000,000 shares of the Registrant’s Common Stock, par value $0.001 per share (the “Common Stock”), issuable to eligible persons under the Acrivon Therapeutics, Inc. Amended and Restated 2022 Equity Incentive Plan (the “A&amp;R 2022 Plan”), which Common Stock is in addition to the shares of Common Stock registered on the Registrant’s Form S-8 filed with the Securities and Exchange Commission (the “Commission”) on November  17, 2022 </w:t>
      </w:r>
      <w:hyperlink r:id="rId2">
        <w:r>
          <w:rPr>
            <w:rStyle w:val="InternetLink"/>
            <w:rFonts w:ascii="Times New Roman" w:hAnsi="Times New Roman"/>
            <w:sz w:val="20"/>
          </w:rPr>
          <w:t>(File No. 333-268426)</w:t>
        </w:r>
      </w:hyperlink>
      <w:r>
        <w:rPr>
          <w:rFonts w:ascii="Times New Roman" w:hAnsi="Times New Roman"/>
          <w:sz w:val="20"/>
        </w:rPr>
        <w:t xml:space="preserve">, March  29, 2023 </w:t>
      </w:r>
      <w:hyperlink r:id="rId3">
        <w:r>
          <w:rPr>
            <w:rStyle w:val="InternetLink"/>
            <w:rFonts w:ascii="Times New Roman" w:hAnsi="Times New Roman"/>
            <w:sz w:val="20"/>
          </w:rPr>
          <w:t>(File No. 333-270923)</w:t>
        </w:r>
      </w:hyperlink>
      <w:r>
        <w:rPr>
          <w:rFonts w:ascii="Times New Roman" w:hAnsi="Times New Roman"/>
          <w:sz w:val="20"/>
        </w:rPr>
        <w:t xml:space="preserve">, March  29, 2024 </w:t>
      </w:r>
      <w:hyperlink r:id="rId4">
        <w:r>
          <w:rPr>
            <w:rStyle w:val="InternetLink"/>
            <w:rFonts w:ascii="Times New Roman" w:hAnsi="Times New Roman"/>
            <w:sz w:val="20"/>
          </w:rPr>
          <w:t>(File No. 333-278365)</w:t>
        </w:r>
      </w:hyperlink>
      <w:r>
        <w:rPr>
          <w:rFonts w:ascii="Times New Roman" w:hAnsi="Times New Roman"/>
          <w:sz w:val="20"/>
        </w:rPr>
        <w:t xml:space="preserve">, March  28, 2025 </w:t>
      </w:r>
      <w:hyperlink r:id="rId5">
        <w:r>
          <w:rPr>
            <w:rStyle w:val="InternetLink"/>
            <w:rFonts w:ascii="Times New Roman" w:hAnsi="Times New Roman"/>
            <w:sz w:val="20"/>
          </w:rPr>
          <w:t>(File No. 333-286208)</w:t>
        </w:r>
      </w:hyperlink>
      <w:r>
        <w:rPr>
          <w:rFonts w:ascii="Times New Roman" w:hAnsi="Times New Roman"/>
          <w:sz w:val="20"/>
        </w:rPr>
        <w:t xml:space="preserve">, and March  19, 2026 </w:t>
      </w:r>
      <w:hyperlink r:id="rId6">
        <w:r>
          <w:rPr>
            <w:rStyle w:val="InternetLink"/>
            <w:rFonts w:ascii="Times New Roman" w:hAnsi="Times New Roman"/>
            <w:sz w:val="20"/>
          </w:rPr>
          <w:t>(File No. 333-294425)</w:t>
        </w:r>
      </w:hyperlink>
      <w:r>
        <w:rPr>
          <w:rFonts w:ascii="Times New Roman" w:hAnsi="Times New Roman"/>
          <w:sz w:val="20"/>
        </w:rPr>
        <w:t xml:space="preserve"> (collectively, the “Prior Registration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Registration Statement relates to securities of the same class as that to which the Prior Registration Statements relate and is submitted in accordance with General Instruction E to Form S-8 regarding Registration of Additional Securities. Pursuant to General Instruction E of Form S-8, the contents of the Prior Registration Statements, to the extent relating to the registration of Common Stock issuable under the A&amp;R 2022 Plan, are incorporated herein by reference and made part of this Registration Statement, except as amended hereby. </w:t>
      </w:r>
    </w:p>
    <w:p>
      <w:pPr>
        <w:pStyle w:val="TextBody"/>
        <w:bidi w:val="0"/>
        <w:spacing w:before="480" w:after="0"/>
        <w:jc w:val="center"/>
        <w:rPr>
          <w:rFonts w:ascii="Times New Roman" w:hAnsi="Times New Roman"/>
          <w:b/>
          <w:sz w:val="20"/>
        </w:rPr>
      </w:pPr>
      <w:r>
        <w:rPr>
          <w:rFonts w:ascii="Times New Roman" w:hAnsi="Times New Roman"/>
          <w:b/>
          <w:sz w:val="20"/>
        </w:rPr>
        <w:t xml:space="preserve">PART 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REQUIRED IN THE SECTION 10(a)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specified in Item 1 and Item 2 of Part I of Form S-8 is omitted from this Registration Statement. The documents containing the information specified in Part I of Form S-8 will be delivered to the participants in the A&amp;R 2022 Plan as specified by Rule 428(b)(1) under the Securities Act of 1933, as amended (the “Securities Act”). </w:t>
      </w:r>
    </w:p>
    <w:p>
      <w:pPr>
        <w:pStyle w:val="TextBody"/>
        <w:bidi w:val="0"/>
        <w:spacing w:before="48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3.</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INCORPORATION OF DOCUMENTS BY REFERENCE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documents filed by the Registrant with the Commission are incorporated by reference into this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pPr>
            <w:r>
              <w:rPr>
                <w:rFonts w:ascii="Times New Roman" w:hAnsi="Times New Roman"/>
                <w:sz w:val="20"/>
              </w:rPr>
              <w:t xml:space="preserve">The Registrant’s Annual Report on </w:t>
            </w:r>
            <w:hyperlink r:id="rId7">
              <w:r>
                <w:rPr>
                  <w:rStyle w:val="InternetLink"/>
                  <w:rFonts w:ascii="Times New Roman" w:hAnsi="Times New Roman"/>
                  <w:sz w:val="20"/>
                </w:rPr>
                <w:t>Form 10-K</w:t>
              </w:r>
            </w:hyperlink>
            <w:r>
              <w:rPr>
                <w:rFonts w:ascii="Times New Roman" w:hAnsi="Times New Roman"/>
                <w:sz w:val="20"/>
              </w:rPr>
              <w:t xml:space="preserve"> for the year ended December 31, 2025, filed with the Commission on March 19, 2026 (the “2025 Annual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pPr>
            <w:r>
              <w:rPr>
                <w:rFonts w:ascii="Times New Roman" w:hAnsi="Times New Roman"/>
                <w:sz w:val="20"/>
              </w:rPr>
              <w:t xml:space="preserve">The Registrant’s Quarterly Reports on Form 10-Q for the quarter ended March 31, 2026, filed with the Commission on </w:t>
            </w:r>
            <w:hyperlink r:id="rId8">
              <w:r>
                <w:rPr>
                  <w:rStyle w:val="InternetLink"/>
                  <w:rFonts w:ascii="Times New Roman" w:hAnsi="Times New Roman"/>
                  <w:sz w:val="20"/>
                </w:rPr>
                <w:t>May 13, 2026</w:t>
              </w:r>
            </w:hyperlink>
            <w:r>
              <w:rPr>
                <w:rFonts w:ascii="Times New Roman" w:hAnsi="Times New Roman"/>
                <w:sz w:val="20"/>
              </w:rPr>
              <w:t xml:space="preserve">, and for the quarter ended June 30, 2026, filed with the Commission on </w:t>
            </w:r>
            <w:hyperlink r:id="rId9">
              <w:r>
                <w:rPr>
                  <w:rStyle w:val="InternetLink"/>
                  <w:rFonts w:ascii="Times New Roman" w:hAnsi="Times New Roman"/>
                  <w:sz w:val="20"/>
                </w:rPr>
                <w:t>August 12,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pPr>
            <w:r>
              <w:rPr>
                <w:rFonts w:ascii="Times New Roman" w:hAnsi="Times New Roman"/>
                <w:sz w:val="20"/>
              </w:rPr>
              <w:t xml:space="preserve">The Registrant’s Current Reports on Form 8-K, filed with the Commission on </w:t>
            </w:r>
            <w:hyperlink r:id="rId10">
              <w:r>
                <w:rPr>
                  <w:rStyle w:val="InternetLink"/>
                  <w:rFonts w:ascii="Times New Roman" w:hAnsi="Times New Roman"/>
                  <w:sz w:val="20"/>
                </w:rPr>
                <w:t>January  8, 2026</w:t>
              </w:r>
            </w:hyperlink>
            <w:r>
              <w:rPr>
                <w:rFonts w:ascii="Times New Roman" w:hAnsi="Times New Roman"/>
                <w:sz w:val="20"/>
              </w:rPr>
              <w:t xml:space="preserve">, </w:t>
            </w:r>
            <w:hyperlink r:id="rId11">
              <w:r>
                <w:rPr>
                  <w:rStyle w:val="InternetLink"/>
                  <w:rFonts w:ascii="Times New Roman" w:hAnsi="Times New Roman"/>
                  <w:sz w:val="20"/>
                </w:rPr>
                <w:t>March  2, 2026</w:t>
              </w:r>
            </w:hyperlink>
            <w:r>
              <w:rPr>
                <w:rFonts w:ascii="Times New Roman" w:hAnsi="Times New Roman"/>
                <w:sz w:val="20"/>
              </w:rPr>
              <w:t xml:space="preserve">, and </w:t>
            </w:r>
            <w:hyperlink r:id="rId12">
              <w:r>
                <w:rPr>
                  <w:rStyle w:val="InternetLink"/>
                  <w:rFonts w:ascii="Times New Roman" w:hAnsi="Times New Roman"/>
                  <w:sz w:val="20"/>
                </w:rPr>
                <w:t>June 17,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(d)</w:t>
            </w:r>
          </w:p>
        </w:tc>
        <w:tc>
          <w:tcPr>
            <w:tcW w:w="9087" w:type="dxa"/>
            <w:tcBorders/>
          </w:tcPr>
          <w:p>
            <w:pPr>
              <w:pStyle w:val="TableContents"/>
              <w:bidi w:val="0"/>
              <w:spacing w:before="0" w:after="0"/>
              <w:jc w:val="left"/>
              <w:rPr/>
            </w:pPr>
            <w:r>
              <w:rPr>
                <w:rFonts w:ascii="Times New Roman" w:hAnsi="Times New Roman"/>
                <w:sz w:val="20"/>
              </w:rPr>
              <w:t xml:space="preserve">The description of the Common Stock contained in the Registrant’s Registration Statement on </w:t>
            </w:r>
            <w:hyperlink r:id="rId13">
              <w:r>
                <w:rPr>
                  <w:rStyle w:val="InternetLink"/>
                  <w:rFonts w:ascii="Times New Roman" w:hAnsi="Times New Roman"/>
                  <w:sz w:val="20"/>
                </w:rPr>
                <w:t>Form 8-A</w:t>
              </w:r>
            </w:hyperlink>
            <w:r>
              <w:rPr>
                <w:rFonts w:ascii="Times New Roman" w:hAnsi="Times New Roman"/>
                <w:sz w:val="20"/>
              </w:rPr>
              <w:t xml:space="preserve">, filed with the Commission on November 7, 2022 (File No. 001-41551) under the Securities Exchange Act of 1934, as amended (the “Exchange Act”), including any amendment or report filed for the purpose of updating such description, including </w:t>
            </w:r>
            <w:hyperlink r:id="rId14">
              <w:r>
                <w:rPr>
                  <w:rStyle w:val="InternetLink"/>
                  <w:rFonts w:ascii="Times New Roman" w:hAnsi="Times New Roman"/>
                  <w:sz w:val="20"/>
                </w:rPr>
                <w:t>Exhibit 4.1</w:t>
              </w:r>
            </w:hyperlink>
            <w:r>
              <w:rPr>
                <w:rFonts w:ascii="Times New Roman" w:hAnsi="Times New Roman"/>
                <w:sz w:val="20"/>
              </w:rPr>
              <w:t xml:space="preserve"> to the 2025 Annual Report.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subsequently filed by the Registrant pursuant to Sections 13(a), 13(c), 14 and 15(d) of the Exchange Act, other than current reports furnished under Item 2.02 or Item 7.01 of Form 8-K and exhibits furnished on such form that relate to such items, prior to the filing of a post-effective amendment to this Registration Statement which indicates that all of the shares of Common Stock offered have been sold or which deregisters all of such shares then remaining unsold, shall be deemed to be incorporated by reference in this Registration Statement and to be a part hereof from the date of the filing of such documents.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this Registration Statement, 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8.</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0"/>
        <w:gridCol w:w="489"/>
        <w:gridCol w:w="9106"/>
      </w:tblGrid>
      <w:tr>
        <w:trPr/>
        <w:tc>
          <w:tcPr>
            <w:tcW w:w="610" w:type="dxa"/>
            <w:tcBorders/>
            <w:vAlign w:val="center"/>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sz w:val="4"/>
                <w:szCs w:val="4"/>
              </w:rPr>
            </w:pPr>
            <w:r>
              <w:rPr>
                <w:sz w:val="4"/>
                <w:szCs w:val="4"/>
              </w:rPr>
            </w:r>
          </w:p>
        </w:tc>
        <w:tc>
          <w:tcPr>
            <w:tcW w:w="9106" w:type="dxa"/>
            <w:tcBorders/>
            <w:vAlign w:val="center"/>
          </w:tcPr>
          <w:p>
            <w:pPr>
              <w:pStyle w:val="TableContents"/>
              <w:bidi w:val="0"/>
              <w:spacing w:before="0" w:after="283"/>
              <w:jc w:val="left"/>
              <w:rPr>
                <w:sz w:val="4"/>
                <w:szCs w:val="4"/>
              </w:rPr>
            </w:pPr>
            <w:r>
              <w:rPr>
                <w:sz w:val="4"/>
                <w:szCs w:val="4"/>
              </w:rPr>
            </w:r>
          </w:p>
        </w:tc>
      </w:tr>
      <w:tr>
        <w:trPr/>
        <w:tc>
          <w:tcPr>
            <w:tcW w:w="61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Number</w:t>
            </w:r>
          </w:p>
        </w:tc>
        <w:tc>
          <w:tcPr>
            <w:tcW w:w="489" w:type="dxa"/>
            <w:tcBorders/>
            <w:vAlign w:val="bottom"/>
          </w:tcPr>
          <w:p>
            <w:pPr>
              <w:pStyle w:val="TableContents"/>
              <w:bidi w:val="0"/>
              <w:spacing w:before="0" w:after="283"/>
              <w:jc w:val="left"/>
              <w:rPr/>
            </w:pPr>
            <w:r>
              <w:rPr/>
              <w:t>  </w:t>
            </w:r>
          </w:p>
        </w:tc>
        <w:tc>
          <w:tcPr>
            <w:tcW w:w="910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610" w:type="dxa"/>
            <w:tcBorders/>
            <w:vAlign w:val="center"/>
          </w:tcPr>
          <w:p>
            <w:pPr>
              <w:pStyle w:val="TableContents"/>
              <w:bidi w:val="0"/>
              <w:spacing w:before="0" w:after="283"/>
              <w:jc w:val="left"/>
              <w:rPr>
                <w:sz w:val="4"/>
                <w:szCs w:val="4"/>
              </w:rPr>
            </w:pPr>
            <w:r>
              <w:rPr>
                <w:sz w:val="4"/>
                <w:szCs w:val="4"/>
              </w:rPr>
            </w:r>
          </w:p>
        </w:tc>
        <w:tc>
          <w:tcPr>
            <w:tcW w:w="9595" w:type="dxa"/>
            <w:gridSpan w:val="2"/>
            <w:tcBorders/>
            <w:vAlign w:val="center"/>
          </w:tcPr>
          <w:p>
            <w:pPr>
              <w:pStyle w:val="TableContents"/>
              <w:bidi w:val="0"/>
              <w:spacing w:before="0" w:after="283"/>
              <w:jc w:val="left"/>
              <w:rPr>
                <w:sz w:val="4"/>
                <w:szCs w:val="4"/>
              </w:rPr>
            </w:pPr>
            <w:r>
              <w:rPr>
                <w:sz w:val="4"/>
                <w:szCs w:val="4"/>
              </w:rPr>
            </w:r>
          </w:p>
        </w:tc>
      </w:tr>
      <w:tr>
        <w:trPr/>
        <w:tc>
          <w:tcPr>
            <w:tcW w:w="610" w:type="dxa"/>
            <w:tcBorders/>
          </w:tcPr>
          <w:p>
            <w:pPr>
              <w:pStyle w:val="TableContents"/>
              <w:bidi w:val="0"/>
              <w:spacing w:before="0" w:after="283"/>
              <w:jc w:val="left"/>
              <w:rPr/>
            </w:pPr>
            <w:r>
              <w:rPr/>
              <w:t>4.1</w:t>
            </w:r>
          </w:p>
        </w:tc>
        <w:tc>
          <w:tcPr>
            <w:tcW w:w="489" w:type="dxa"/>
            <w:tcBorders/>
            <w:vAlign w:val="bottom"/>
          </w:tcPr>
          <w:p>
            <w:pPr>
              <w:pStyle w:val="TableContents"/>
              <w:bidi w:val="0"/>
              <w:spacing w:before="0" w:after="283"/>
              <w:jc w:val="left"/>
              <w:rPr/>
            </w:pPr>
            <w:r>
              <w:rPr/>
              <w:t>  </w:t>
            </w:r>
          </w:p>
        </w:tc>
        <w:tc>
          <w:tcPr>
            <w:tcW w:w="9106" w:type="dxa"/>
            <w:tcBorders/>
          </w:tcPr>
          <w:p>
            <w:pPr>
              <w:pStyle w:val="TableContents"/>
              <w:bidi w:val="0"/>
              <w:spacing w:before="0" w:after="283"/>
              <w:jc w:val="left"/>
              <w:rPr/>
            </w:pPr>
            <w:hyperlink r:id="rId15">
              <w:r>
                <w:rPr>
                  <w:rStyle w:val="InternetLink"/>
                </w:rPr>
                <w:t>Second Amended and Restated Certificate of Incorporation (incorporated by reference to Exhibit 3.1 to the Registrant’s Current Report on Form 8-K (File No. 001-41551) filed with the Securities and Exchange Commission on November 17, 2022)</w:t>
              </w:r>
            </w:hyperlink>
            <w:r>
              <w:rPr/>
              <w:t>.</w:t>
            </w:r>
          </w:p>
        </w:tc>
      </w:tr>
      <w:tr>
        <w:trPr>
          <w:trHeight w:val="120" w:hRule="atLeast"/>
        </w:trPr>
        <w:tc>
          <w:tcPr>
            <w:tcW w:w="610" w:type="dxa"/>
            <w:tcBorders/>
            <w:vAlign w:val="center"/>
          </w:tcPr>
          <w:p>
            <w:pPr>
              <w:pStyle w:val="TableContents"/>
              <w:bidi w:val="0"/>
              <w:spacing w:before="0" w:after="283"/>
              <w:jc w:val="left"/>
              <w:rPr>
                <w:sz w:val="4"/>
                <w:szCs w:val="4"/>
              </w:rPr>
            </w:pPr>
            <w:r>
              <w:rPr>
                <w:sz w:val="4"/>
                <w:szCs w:val="4"/>
              </w:rPr>
            </w:r>
          </w:p>
        </w:tc>
        <w:tc>
          <w:tcPr>
            <w:tcW w:w="9595" w:type="dxa"/>
            <w:gridSpan w:val="2"/>
            <w:tcBorders/>
            <w:vAlign w:val="center"/>
          </w:tcPr>
          <w:p>
            <w:pPr>
              <w:pStyle w:val="TableContents"/>
              <w:bidi w:val="0"/>
              <w:spacing w:before="0" w:after="283"/>
              <w:jc w:val="left"/>
              <w:rPr>
                <w:sz w:val="4"/>
                <w:szCs w:val="4"/>
              </w:rPr>
            </w:pPr>
            <w:r>
              <w:rPr>
                <w:sz w:val="4"/>
                <w:szCs w:val="4"/>
              </w:rPr>
            </w:r>
          </w:p>
        </w:tc>
      </w:tr>
      <w:tr>
        <w:trPr/>
        <w:tc>
          <w:tcPr>
            <w:tcW w:w="610" w:type="dxa"/>
            <w:tcBorders/>
          </w:tcPr>
          <w:p>
            <w:pPr>
              <w:pStyle w:val="TableContents"/>
              <w:bidi w:val="0"/>
              <w:spacing w:before="0" w:after="283"/>
              <w:jc w:val="left"/>
              <w:rPr/>
            </w:pPr>
            <w:r>
              <w:rPr/>
              <w:t>4.2</w:t>
            </w:r>
          </w:p>
        </w:tc>
        <w:tc>
          <w:tcPr>
            <w:tcW w:w="489" w:type="dxa"/>
            <w:tcBorders/>
            <w:vAlign w:val="bottom"/>
          </w:tcPr>
          <w:p>
            <w:pPr>
              <w:pStyle w:val="TableContents"/>
              <w:bidi w:val="0"/>
              <w:spacing w:before="0" w:after="283"/>
              <w:jc w:val="left"/>
              <w:rPr/>
            </w:pPr>
            <w:r>
              <w:rPr/>
              <w:t>  </w:t>
            </w:r>
          </w:p>
        </w:tc>
        <w:tc>
          <w:tcPr>
            <w:tcW w:w="9106" w:type="dxa"/>
            <w:tcBorders/>
          </w:tcPr>
          <w:p>
            <w:pPr>
              <w:pStyle w:val="TableContents"/>
              <w:bidi w:val="0"/>
              <w:spacing w:before="0" w:after="283"/>
              <w:jc w:val="left"/>
              <w:rPr/>
            </w:pPr>
            <w:hyperlink r:id="rId16">
              <w:r>
                <w:rPr>
                  <w:rStyle w:val="InternetLink"/>
                </w:rPr>
                <w:t>Amended and Restated Bylaws (incorporated by reference to Exhibit 3.2 to the Registrant’s Current Report on Form 8-K (File No. 001-41551) filed with the Securities and Exchange Commission on November 17, 2022)</w:t>
              </w:r>
            </w:hyperlink>
            <w:r>
              <w:rPr/>
              <w:t>.</w:t>
            </w:r>
          </w:p>
        </w:tc>
      </w:tr>
      <w:tr>
        <w:trPr>
          <w:trHeight w:val="120" w:hRule="atLeast"/>
        </w:trPr>
        <w:tc>
          <w:tcPr>
            <w:tcW w:w="610" w:type="dxa"/>
            <w:tcBorders/>
            <w:vAlign w:val="center"/>
          </w:tcPr>
          <w:p>
            <w:pPr>
              <w:pStyle w:val="TableContents"/>
              <w:bidi w:val="0"/>
              <w:spacing w:before="0" w:after="283"/>
              <w:jc w:val="left"/>
              <w:rPr>
                <w:sz w:val="4"/>
                <w:szCs w:val="4"/>
              </w:rPr>
            </w:pPr>
            <w:r>
              <w:rPr>
                <w:sz w:val="4"/>
                <w:szCs w:val="4"/>
              </w:rPr>
            </w:r>
          </w:p>
        </w:tc>
        <w:tc>
          <w:tcPr>
            <w:tcW w:w="9595" w:type="dxa"/>
            <w:gridSpan w:val="2"/>
            <w:tcBorders/>
            <w:vAlign w:val="center"/>
          </w:tcPr>
          <w:p>
            <w:pPr>
              <w:pStyle w:val="TableContents"/>
              <w:bidi w:val="0"/>
              <w:spacing w:before="0" w:after="283"/>
              <w:jc w:val="left"/>
              <w:rPr>
                <w:sz w:val="4"/>
                <w:szCs w:val="4"/>
              </w:rPr>
            </w:pPr>
            <w:r>
              <w:rPr>
                <w:sz w:val="4"/>
                <w:szCs w:val="4"/>
              </w:rPr>
            </w:r>
          </w:p>
        </w:tc>
      </w:tr>
      <w:tr>
        <w:trPr/>
        <w:tc>
          <w:tcPr>
            <w:tcW w:w="610" w:type="dxa"/>
            <w:tcBorders/>
          </w:tcPr>
          <w:p>
            <w:pPr>
              <w:pStyle w:val="TableContents"/>
              <w:bidi w:val="0"/>
              <w:spacing w:before="0" w:after="283"/>
              <w:jc w:val="left"/>
              <w:rPr/>
            </w:pPr>
            <w:r>
              <w:rPr/>
              <w:t>4.3</w:t>
            </w:r>
          </w:p>
        </w:tc>
        <w:tc>
          <w:tcPr>
            <w:tcW w:w="489" w:type="dxa"/>
            <w:tcBorders/>
            <w:vAlign w:val="bottom"/>
          </w:tcPr>
          <w:p>
            <w:pPr>
              <w:pStyle w:val="TableContents"/>
              <w:bidi w:val="0"/>
              <w:spacing w:before="0" w:after="283"/>
              <w:jc w:val="left"/>
              <w:rPr/>
            </w:pPr>
            <w:r>
              <w:rPr/>
              <w:t>  </w:t>
            </w:r>
          </w:p>
        </w:tc>
        <w:tc>
          <w:tcPr>
            <w:tcW w:w="9106" w:type="dxa"/>
            <w:tcBorders/>
          </w:tcPr>
          <w:p>
            <w:pPr>
              <w:pStyle w:val="TableContents"/>
              <w:bidi w:val="0"/>
              <w:spacing w:before="0" w:after="283"/>
              <w:jc w:val="left"/>
              <w:rPr/>
            </w:pPr>
            <w:hyperlink r:id="rId17">
              <w:r>
                <w:rPr>
                  <w:rStyle w:val="InternetLink"/>
                </w:rPr>
                <w:t>Amended and Restated 2022 Equity Incentive Plan (incorporated by reference to Exhibit 10.1 to the Registrant’s Current Report on Form 8-K (File No. 001-41551) filed with the Securities and Exchange Commission on June 17, 2026).</w:t>
              </w:r>
            </w:hyperlink>
          </w:p>
        </w:tc>
      </w:tr>
      <w:tr>
        <w:trPr>
          <w:trHeight w:val="120" w:hRule="atLeast"/>
        </w:trPr>
        <w:tc>
          <w:tcPr>
            <w:tcW w:w="610" w:type="dxa"/>
            <w:tcBorders/>
            <w:vAlign w:val="center"/>
          </w:tcPr>
          <w:p>
            <w:pPr>
              <w:pStyle w:val="TableContents"/>
              <w:bidi w:val="0"/>
              <w:spacing w:before="0" w:after="283"/>
              <w:jc w:val="left"/>
              <w:rPr>
                <w:sz w:val="4"/>
                <w:szCs w:val="4"/>
              </w:rPr>
            </w:pPr>
            <w:r>
              <w:rPr>
                <w:sz w:val="4"/>
                <w:szCs w:val="4"/>
              </w:rPr>
            </w:r>
          </w:p>
        </w:tc>
        <w:tc>
          <w:tcPr>
            <w:tcW w:w="9595" w:type="dxa"/>
            <w:gridSpan w:val="2"/>
            <w:tcBorders/>
            <w:vAlign w:val="center"/>
          </w:tcPr>
          <w:p>
            <w:pPr>
              <w:pStyle w:val="TableContents"/>
              <w:bidi w:val="0"/>
              <w:spacing w:before="0" w:after="283"/>
              <w:jc w:val="left"/>
              <w:rPr>
                <w:sz w:val="4"/>
                <w:szCs w:val="4"/>
              </w:rPr>
            </w:pPr>
            <w:r>
              <w:rPr>
                <w:sz w:val="4"/>
                <w:szCs w:val="4"/>
              </w:rPr>
            </w:r>
          </w:p>
        </w:tc>
      </w:tr>
      <w:tr>
        <w:trPr/>
        <w:tc>
          <w:tcPr>
            <w:tcW w:w="610" w:type="dxa"/>
            <w:tcBorders/>
          </w:tcPr>
          <w:p>
            <w:pPr>
              <w:pStyle w:val="TableContents"/>
              <w:bidi w:val="0"/>
              <w:spacing w:before="0" w:after="283"/>
              <w:jc w:val="left"/>
              <w:rPr/>
            </w:pPr>
            <w:r>
              <w:rPr/>
              <w:t>5.1*</w:t>
            </w:r>
          </w:p>
        </w:tc>
        <w:tc>
          <w:tcPr>
            <w:tcW w:w="489" w:type="dxa"/>
            <w:tcBorders/>
            <w:vAlign w:val="bottom"/>
          </w:tcPr>
          <w:p>
            <w:pPr>
              <w:pStyle w:val="TableContents"/>
              <w:bidi w:val="0"/>
              <w:spacing w:before="0" w:after="283"/>
              <w:jc w:val="left"/>
              <w:rPr/>
            </w:pPr>
            <w:r>
              <w:rPr/>
              <w:t>  </w:t>
            </w:r>
          </w:p>
        </w:tc>
        <w:tc>
          <w:tcPr>
            <w:tcW w:w="9106" w:type="dxa"/>
            <w:tcBorders/>
          </w:tcPr>
          <w:p>
            <w:pPr>
              <w:pStyle w:val="TableContents"/>
              <w:bidi w:val="0"/>
              <w:spacing w:before="0" w:after="283"/>
              <w:jc w:val="left"/>
              <w:rPr/>
            </w:pPr>
            <w:hyperlink w:anchor="d47579dex51.htm">
              <w:r>
                <w:rPr>
                  <w:rStyle w:val="InternetLink"/>
                </w:rPr>
                <w:t xml:space="preserve">Opinion of Sidley Austin LLP with respect to the validity of issuance of securities. </w:t>
              </w:r>
            </w:hyperlink>
          </w:p>
        </w:tc>
      </w:tr>
      <w:tr>
        <w:trPr>
          <w:trHeight w:val="120" w:hRule="atLeast"/>
        </w:trPr>
        <w:tc>
          <w:tcPr>
            <w:tcW w:w="610" w:type="dxa"/>
            <w:tcBorders/>
            <w:vAlign w:val="center"/>
          </w:tcPr>
          <w:p>
            <w:pPr>
              <w:pStyle w:val="TableContents"/>
              <w:bidi w:val="0"/>
              <w:spacing w:before="0" w:after="283"/>
              <w:jc w:val="left"/>
              <w:rPr>
                <w:sz w:val="4"/>
                <w:szCs w:val="4"/>
              </w:rPr>
            </w:pPr>
            <w:r>
              <w:rPr>
                <w:sz w:val="4"/>
                <w:szCs w:val="4"/>
              </w:rPr>
            </w:r>
          </w:p>
        </w:tc>
        <w:tc>
          <w:tcPr>
            <w:tcW w:w="9595" w:type="dxa"/>
            <w:gridSpan w:val="2"/>
            <w:tcBorders/>
            <w:vAlign w:val="center"/>
          </w:tcPr>
          <w:p>
            <w:pPr>
              <w:pStyle w:val="TableContents"/>
              <w:bidi w:val="0"/>
              <w:spacing w:before="0" w:after="283"/>
              <w:jc w:val="left"/>
              <w:rPr>
                <w:sz w:val="4"/>
                <w:szCs w:val="4"/>
              </w:rPr>
            </w:pPr>
            <w:r>
              <w:rPr>
                <w:sz w:val="4"/>
                <w:szCs w:val="4"/>
              </w:rPr>
            </w:r>
          </w:p>
        </w:tc>
      </w:tr>
      <w:tr>
        <w:trPr/>
        <w:tc>
          <w:tcPr>
            <w:tcW w:w="610" w:type="dxa"/>
            <w:tcBorders/>
          </w:tcPr>
          <w:p>
            <w:pPr>
              <w:pStyle w:val="TableContents"/>
              <w:bidi w:val="0"/>
              <w:spacing w:before="0" w:after="283"/>
              <w:jc w:val="left"/>
              <w:rPr/>
            </w:pPr>
            <w:r>
              <w:rPr/>
              <w:t>23.1*</w:t>
            </w:r>
          </w:p>
        </w:tc>
        <w:tc>
          <w:tcPr>
            <w:tcW w:w="489" w:type="dxa"/>
            <w:tcBorders/>
            <w:vAlign w:val="bottom"/>
          </w:tcPr>
          <w:p>
            <w:pPr>
              <w:pStyle w:val="TableContents"/>
              <w:bidi w:val="0"/>
              <w:spacing w:before="0" w:after="283"/>
              <w:jc w:val="left"/>
              <w:rPr/>
            </w:pPr>
            <w:r>
              <w:rPr/>
              <w:t>  </w:t>
            </w:r>
          </w:p>
        </w:tc>
        <w:tc>
          <w:tcPr>
            <w:tcW w:w="9106" w:type="dxa"/>
            <w:tcBorders/>
          </w:tcPr>
          <w:p>
            <w:pPr>
              <w:pStyle w:val="TableContents"/>
              <w:bidi w:val="0"/>
              <w:spacing w:before="0" w:after="283"/>
              <w:jc w:val="left"/>
              <w:rPr/>
            </w:pPr>
            <w:hyperlink w:anchor="d47579dex51.htm">
              <w:r>
                <w:rPr>
                  <w:rStyle w:val="InternetLink"/>
                </w:rPr>
                <w:t xml:space="preserve">Consent of Sidley Austin LLP (included in Exhibit 5.1). </w:t>
              </w:r>
            </w:hyperlink>
          </w:p>
        </w:tc>
      </w:tr>
      <w:tr>
        <w:trPr>
          <w:trHeight w:val="120" w:hRule="atLeast"/>
        </w:trPr>
        <w:tc>
          <w:tcPr>
            <w:tcW w:w="610" w:type="dxa"/>
            <w:tcBorders/>
            <w:vAlign w:val="center"/>
          </w:tcPr>
          <w:p>
            <w:pPr>
              <w:pStyle w:val="TableContents"/>
              <w:bidi w:val="0"/>
              <w:spacing w:before="0" w:after="283"/>
              <w:jc w:val="left"/>
              <w:rPr>
                <w:sz w:val="4"/>
                <w:szCs w:val="4"/>
              </w:rPr>
            </w:pPr>
            <w:r>
              <w:rPr>
                <w:sz w:val="4"/>
                <w:szCs w:val="4"/>
              </w:rPr>
            </w:r>
          </w:p>
        </w:tc>
        <w:tc>
          <w:tcPr>
            <w:tcW w:w="9595" w:type="dxa"/>
            <w:gridSpan w:val="2"/>
            <w:tcBorders/>
            <w:vAlign w:val="center"/>
          </w:tcPr>
          <w:p>
            <w:pPr>
              <w:pStyle w:val="TableContents"/>
              <w:bidi w:val="0"/>
              <w:spacing w:before="0" w:after="283"/>
              <w:jc w:val="left"/>
              <w:rPr>
                <w:sz w:val="4"/>
                <w:szCs w:val="4"/>
              </w:rPr>
            </w:pPr>
            <w:r>
              <w:rPr>
                <w:sz w:val="4"/>
                <w:szCs w:val="4"/>
              </w:rPr>
            </w:r>
          </w:p>
        </w:tc>
      </w:tr>
      <w:tr>
        <w:trPr/>
        <w:tc>
          <w:tcPr>
            <w:tcW w:w="610" w:type="dxa"/>
            <w:tcBorders/>
          </w:tcPr>
          <w:p>
            <w:pPr>
              <w:pStyle w:val="TableContents"/>
              <w:bidi w:val="0"/>
              <w:spacing w:before="0" w:after="283"/>
              <w:jc w:val="left"/>
              <w:rPr/>
            </w:pPr>
            <w:r>
              <w:rPr/>
              <w:t>23.2*</w:t>
            </w:r>
          </w:p>
        </w:tc>
        <w:tc>
          <w:tcPr>
            <w:tcW w:w="489" w:type="dxa"/>
            <w:tcBorders/>
            <w:vAlign w:val="bottom"/>
          </w:tcPr>
          <w:p>
            <w:pPr>
              <w:pStyle w:val="TableContents"/>
              <w:bidi w:val="0"/>
              <w:spacing w:before="0" w:after="283"/>
              <w:jc w:val="left"/>
              <w:rPr/>
            </w:pPr>
            <w:r>
              <w:rPr/>
              <w:t>  </w:t>
            </w:r>
          </w:p>
        </w:tc>
        <w:tc>
          <w:tcPr>
            <w:tcW w:w="9106" w:type="dxa"/>
            <w:tcBorders/>
          </w:tcPr>
          <w:p>
            <w:pPr>
              <w:pStyle w:val="TableContents"/>
              <w:bidi w:val="0"/>
              <w:spacing w:before="0" w:after="283"/>
              <w:jc w:val="left"/>
              <w:rPr/>
            </w:pPr>
            <w:hyperlink w:anchor="d47579dex232.htm">
              <w:r>
                <w:rPr>
                  <w:rStyle w:val="InternetLink"/>
                </w:rPr>
                <w:t xml:space="preserve">Consent of PricewaterhouseCoopers LLP, independent registered public accounting firm. </w:t>
              </w:r>
            </w:hyperlink>
          </w:p>
        </w:tc>
      </w:tr>
      <w:tr>
        <w:trPr>
          <w:trHeight w:val="120" w:hRule="atLeast"/>
        </w:trPr>
        <w:tc>
          <w:tcPr>
            <w:tcW w:w="610" w:type="dxa"/>
            <w:tcBorders/>
            <w:vAlign w:val="center"/>
          </w:tcPr>
          <w:p>
            <w:pPr>
              <w:pStyle w:val="TableContents"/>
              <w:bidi w:val="0"/>
              <w:spacing w:before="0" w:after="283"/>
              <w:jc w:val="left"/>
              <w:rPr>
                <w:sz w:val="4"/>
                <w:szCs w:val="4"/>
              </w:rPr>
            </w:pPr>
            <w:r>
              <w:rPr>
                <w:sz w:val="4"/>
                <w:szCs w:val="4"/>
              </w:rPr>
            </w:r>
          </w:p>
        </w:tc>
        <w:tc>
          <w:tcPr>
            <w:tcW w:w="9595" w:type="dxa"/>
            <w:gridSpan w:val="2"/>
            <w:tcBorders/>
            <w:vAlign w:val="center"/>
          </w:tcPr>
          <w:p>
            <w:pPr>
              <w:pStyle w:val="TableContents"/>
              <w:bidi w:val="0"/>
              <w:spacing w:before="0" w:after="283"/>
              <w:jc w:val="left"/>
              <w:rPr>
                <w:sz w:val="4"/>
                <w:szCs w:val="4"/>
              </w:rPr>
            </w:pPr>
            <w:r>
              <w:rPr>
                <w:sz w:val="4"/>
                <w:szCs w:val="4"/>
              </w:rPr>
            </w:r>
          </w:p>
        </w:tc>
      </w:tr>
      <w:tr>
        <w:trPr/>
        <w:tc>
          <w:tcPr>
            <w:tcW w:w="610" w:type="dxa"/>
            <w:tcBorders/>
          </w:tcPr>
          <w:p>
            <w:pPr>
              <w:pStyle w:val="TableContents"/>
              <w:bidi w:val="0"/>
              <w:spacing w:before="0" w:after="283"/>
              <w:jc w:val="left"/>
              <w:rPr/>
            </w:pPr>
            <w:r>
              <w:rPr/>
              <w:t>24.1*</w:t>
            </w:r>
          </w:p>
        </w:tc>
        <w:tc>
          <w:tcPr>
            <w:tcW w:w="489" w:type="dxa"/>
            <w:tcBorders/>
            <w:vAlign w:val="bottom"/>
          </w:tcPr>
          <w:p>
            <w:pPr>
              <w:pStyle w:val="TableContents"/>
              <w:bidi w:val="0"/>
              <w:spacing w:before="0" w:after="283"/>
              <w:jc w:val="left"/>
              <w:rPr/>
            </w:pPr>
            <w:r>
              <w:rPr/>
              <w:t>  </w:t>
            </w:r>
          </w:p>
        </w:tc>
        <w:tc>
          <w:tcPr>
            <w:tcW w:w="9106" w:type="dxa"/>
            <w:tcBorders/>
          </w:tcPr>
          <w:p>
            <w:pPr>
              <w:pStyle w:val="TableContents"/>
              <w:bidi w:val="0"/>
              <w:spacing w:before="0" w:after="283"/>
              <w:jc w:val="left"/>
              <w:rPr/>
            </w:pPr>
            <w:hyperlink w:anchor="sig">
              <w:r>
                <w:rPr>
                  <w:rStyle w:val="InternetLink"/>
                </w:rPr>
                <w:t>Power of Attorney (included on the signature page of this Form S-8).</w:t>
              </w:r>
            </w:hyperlink>
          </w:p>
        </w:tc>
      </w:tr>
      <w:tr>
        <w:trPr>
          <w:trHeight w:val="120" w:hRule="atLeast"/>
        </w:trPr>
        <w:tc>
          <w:tcPr>
            <w:tcW w:w="610" w:type="dxa"/>
            <w:tcBorders/>
            <w:vAlign w:val="center"/>
          </w:tcPr>
          <w:p>
            <w:pPr>
              <w:pStyle w:val="TableContents"/>
              <w:bidi w:val="0"/>
              <w:spacing w:before="0" w:after="283"/>
              <w:jc w:val="left"/>
              <w:rPr>
                <w:sz w:val="4"/>
                <w:szCs w:val="4"/>
              </w:rPr>
            </w:pPr>
            <w:r>
              <w:rPr>
                <w:sz w:val="4"/>
                <w:szCs w:val="4"/>
              </w:rPr>
            </w:r>
          </w:p>
        </w:tc>
        <w:tc>
          <w:tcPr>
            <w:tcW w:w="9595" w:type="dxa"/>
            <w:gridSpan w:val="2"/>
            <w:tcBorders/>
            <w:vAlign w:val="center"/>
          </w:tcPr>
          <w:p>
            <w:pPr>
              <w:pStyle w:val="TableContents"/>
              <w:bidi w:val="0"/>
              <w:spacing w:before="0" w:after="283"/>
              <w:jc w:val="left"/>
              <w:rPr>
                <w:sz w:val="4"/>
                <w:szCs w:val="4"/>
              </w:rPr>
            </w:pPr>
            <w:r>
              <w:rPr>
                <w:sz w:val="4"/>
                <w:szCs w:val="4"/>
              </w:rPr>
            </w:r>
          </w:p>
        </w:tc>
      </w:tr>
      <w:tr>
        <w:trPr/>
        <w:tc>
          <w:tcPr>
            <w:tcW w:w="610" w:type="dxa"/>
            <w:tcBorders/>
          </w:tcPr>
          <w:p>
            <w:pPr>
              <w:pStyle w:val="TableContents"/>
              <w:bidi w:val="0"/>
              <w:spacing w:before="0" w:after="283"/>
              <w:jc w:val="left"/>
              <w:rPr/>
            </w:pPr>
            <w:r>
              <w:rPr/>
              <w:t>107*</w:t>
            </w:r>
          </w:p>
        </w:tc>
        <w:tc>
          <w:tcPr>
            <w:tcW w:w="489" w:type="dxa"/>
            <w:tcBorders/>
            <w:vAlign w:val="bottom"/>
          </w:tcPr>
          <w:p>
            <w:pPr>
              <w:pStyle w:val="TableContents"/>
              <w:bidi w:val="0"/>
              <w:spacing w:before="0" w:after="283"/>
              <w:jc w:val="left"/>
              <w:rPr/>
            </w:pPr>
            <w:r>
              <w:rPr/>
              <w:t>  </w:t>
            </w:r>
          </w:p>
        </w:tc>
        <w:tc>
          <w:tcPr>
            <w:tcW w:w="9106" w:type="dxa"/>
            <w:tcBorders/>
          </w:tcPr>
          <w:p>
            <w:pPr>
              <w:pStyle w:val="TableContents"/>
              <w:bidi w:val="0"/>
              <w:spacing w:before="0" w:after="283"/>
              <w:jc w:val="left"/>
              <w:rPr/>
            </w:pPr>
            <w:hyperlink w:anchor="d47579dexfilingfees.htm">
              <w:r>
                <w:rPr>
                  <w:rStyle w:val="InternetLink"/>
                </w:rPr>
                <w:t xml:space="preserve">Calculation of Filing Fee Table. </w:t>
              </w:r>
            </w:hyperlink>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Watertown, Commonwealth of Massachusetts, on this 12th day of August,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9"/>
        <w:gridCol w:w="60"/>
        <w:gridCol w:w="3653"/>
      </w:tblGrid>
      <w:tr>
        <w:trPr/>
        <w:tc>
          <w:tcPr>
            <w:tcW w:w="3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Acrivon Therapeutics, Inc.</w:t>
            </w:r>
          </w:p>
        </w:tc>
      </w:tr>
      <w:tr>
        <w:trPr>
          <w:trHeight w:val="240" w:hRule="atLeast"/>
        </w:trPr>
        <w:tc>
          <w:tcPr>
            <w:tcW w:w="369" w:type="dxa"/>
            <w:tcBorders/>
            <w:vAlign w:val="center"/>
          </w:tcPr>
          <w:p>
            <w:pPr>
              <w:pStyle w:val="TableContents"/>
              <w:bidi w:val="0"/>
              <w:spacing w:before="0" w:after="283"/>
              <w:jc w:val="left"/>
              <w:rPr>
                <w:sz w:val="4"/>
                <w:szCs w:val="4"/>
              </w:rPr>
            </w:pPr>
            <w:r>
              <w:rPr>
                <w:sz w:val="4"/>
                <w:szCs w:val="4"/>
              </w:rPr>
            </w:r>
          </w:p>
        </w:tc>
        <w:tc>
          <w:tcPr>
            <w:tcW w:w="3713" w:type="dxa"/>
            <w:gridSpan w:val="2"/>
            <w:tcBorders/>
            <w:vAlign w:val="center"/>
          </w:tcPr>
          <w:p>
            <w:pPr>
              <w:pStyle w:val="TableContents"/>
              <w:bidi w:val="0"/>
              <w:spacing w:before="0" w:after="283"/>
              <w:jc w:val="left"/>
              <w:rPr>
                <w:sz w:val="4"/>
                <w:szCs w:val="4"/>
              </w:rPr>
            </w:pPr>
            <w:r>
              <w:rPr>
                <w:sz w:val="4"/>
                <w:szCs w:val="4"/>
              </w:rPr>
            </w:r>
          </w:p>
        </w:tc>
      </w:tr>
      <w:tr>
        <w:trPr/>
        <w:tc>
          <w:tcPr>
            <w:tcW w:w="3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Peter Blume-Jensen</w:t>
            </w:r>
          </w:p>
        </w:tc>
      </w:tr>
      <w:tr>
        <w:trPr/>
        <w:tc>
          <w:tcPr>
            <w:tcW w:w="36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bidi w:val="0"/>
              <w:spacing w:before="0" w:after="283"/>
              <w:jc w:val="left"/>
              <w:rPr/>
            </w:pPr>
            <w:r>
              <w:rPr/>
              <w:t>Peter Blume-Jensen, M.D., Ph.D.</w:t>
            </w:r>
          </w:p>
        </w:tc>
      </w:tr>
      <w:tr>
        <w:trPr/>
        <w:tc>
          <w:tcPr>
            <w:tcW w:w="36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bidi w:val="0"/>
              <w:spacing w:before="0" w:after="283"/>
              <w:jc w:val="left"/>
              <w:rPr/>
            </w:pPr>
            <w:r>
              <w:rPr/>
              <w:t>Chief Executive Officer and President</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2" w:name="sig"/>
      <w:bookmarkEnd w:id="2"/>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BY THESE PRESENTS, that each person whose signature appears below hereby constitutes and appoints Peter Blume-Jensen and Adam Levy, and each of them, as his or her true and lawful agents, proxies and attorneys-in-fact, with full power of substitution and resubstitution, for him or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and (iv) take any and all actions which may be necessary or appropriate to be done, as fully for all intents and purposes as he might or could do in person, hereby approving, ratifying and confirming all that such agent, proxy and attorney-in-fact or any of his substitutes may lawfully do or cause to be done by virtue thereof.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901"/>
        <w:gridCol w:w="120"/>
        <w:gridCol w:w="4217"/>
        <w:gridCol w:w="105"/>
        <w:gridCol w:w="1862"/>
      </w:tblGrid>
      <w:tr>
        <w:trPr/>
        <w:tc>
          <w:tcPr>
            <w:tcW w:w="390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217"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r>
      <w:tr>
        <w:trPr/>
        <w:tc>
          <w:tcPr>
            <w:tcW w:w="390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421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5" w:type="dxa"/>
            <w:tcBorders/>
            <w:vAlign w:val="bottom"/>
          </w:tcPr>
          <w:p>
            <w:pPr>
              <w:pStyle w:val="TableContents"/>
              <w:bidi w:val="0"/>
              <w:spacing w:before="0" w:after="283"/>
              <w:jc w:val="left"/>
              <w:rPr/>
            </w:pPr>
            <w:r>
              <w:rPr/>
              <w:t> </w:t>
            </w:r>
          </w:p>
        </w:tc>
        <w:tc>
          <w:tcPr>
            <w:tcW w:w="186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901" w:type="dxa"/>
            <w:tcBorders/>
            <w:vAlign w:val="center"/>
          </w:tcPr>
          <w:p>
            <w:pPr>
              <w:pStyle w:val="TableContents"/>
              <w:bidi w:val="0"/>
              <w:spacing w:before="0" w:after="283"/>
              <w:jc w:val="left"/>
              <w:rPr>
                <w:sz w:val="4"/>
                <w:szCs w:val="4"/>
              </w:rPr>
            </w:pPr>
            <w:r>
              <w:rPr>
                <w:sz w:val="4"/>
                <w:szCs w:val="4"/>
              </w:rPr>
            </w:r>
          </w:p>
        </w:tc>
        <w:tc>
          <w:tcPr>
            <w:tcW w:w="4337"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901" w:type="dxa"/>
            <w:tcBorders/>
            <w:vAlign w:val="bottom"/>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Peter Blume-Jensen</w:t>
            </w:r>
          </w:p>
          <w:p>
            <w:pPr>
              <w:pStyle w:val="TableContents"/>
              <w:bidi w:val="0"/>
              <w:spacing w:before="0" w:after="20"/>
              <w:jc w:val="center"/>
              <w:rPr>
                <w:rFonts w:ascii="Times New Roman" w:hAnsi="Times New Roman"/>
                <w:sz w:val="20"/>
              </w:rPr>
            </w:pPr>
            <w:r>
              <w:rPr>
                <w:rFonts w:ascii="Times New Roman" w:hAnsi="Times New Roman"/>
                <w:sz w:val="20"/>
              </w:rPr>
              <w:t>Peter Blume-Jensen, M.D., Ph.D.</w:t>
            </w:r>
          </w:p>
        </w:tc>
        <w:tc>
          <w:tcPr>
            <w:tcW w:w="120" w:type="dxa"/>
            <w:tcBorders/>
            <w:vAlign w:val="bottom"/>
          </w:tcPr>
          <w:p>
            <w:pPr>
              <w:pStyle w:val="TableContents"/>
              <w:bidi w:val="0"/>
              <w:spacing w:before="0" w:after="283"/>
              <w:jc w:val="left"/>
              <w:rPr/>
            </w:pPr>
            <w:r>
              <w:rPr/>
              <w:t>  </w:t>
            </w:r>
          </w:p>
        </w:tc>
        <w:tc>
          <w:tcPr>
            <w:tcW w:w="4217" w:type="dxa"/>
            <w:tcBorders/>
          </w:tcPr>
          <w:p>
            <w:pPr>
              <w:pStyle w:val="TableContents"/>
              <w:bidi w:val="0"/>
              <w:spacing w:before="0" w:after="0"/>
              <w:jc w:val="center"/>
              <w:rPr>
                <w:rFonts w:ascii="Times New Roman" w:hAnsi="Times New Roman"/>
                <w:sz w:val="20"/>
              </w:rPr>
            </w:pPr>
            <w:r>
              <w:rPr>
                <w:rFonts w:ascii="Times New Roman" w:hAnsi="Times New Roman"/>
                <w:sz w:val="20"/>
              </w:rPr>
              <w:t xml:space="preserve">Chief Executive Officer, President and Chairman of the Board </w:t>
            </w:r>
          </w:p>
          <w:p>
            <w:pPr>
              <w:pStyle w:val="TableContents"/>
              <w:bidi w:val="0"/>
              <w:spacing w:before="0" w:after="20"/>
              <w:jc w:val="center"/>
              <w:rPr>
                <w:rFonts w:ascii="Times New Roman" w:hAnsi="Times New Roman"/>
                <w:i/>
                <w:sz w:val="20"/>
              </w:rPr>
            </w:pPr>
            <w:r>
              <w:rPr>
                <w:rFonts w:ascii="Times New Roman" w:hAnsi="Times New Roman"/>
                <w:i/>
                <w:sz w:val="20"/>
              </w:rPr>
              <w:t>(Principal Executive Officer)</w:t>
            </w:r>
          </w:p>
        </w:tc>
        <w:tc>
          <w:tcPr>
            <w:tcW w:w="105" w:type="dxa"/>
            <w:tcBorders/>
            <w:vAlign w:val="bottom"/>
          </w:tcPr>
          <w:p>
            <w:pPr>
              <w:pStyle w:val="TableContents"/>
              <w:bidi w:val="0"/>
              <w:spacing w:before="0" w:after="283"/>
              <w:jc w:val="left"/>
              <w:rPr/>
            </w:pPr>
            <w:r>
              <w:rPr/>
              <w:t> </w:t>
            </w:r>
          </w:p>
        </w:tc>
        <w:tc>
          <w:tcPr>
            <w:tcW w:w="1862" w:type="dxa"/>
            <w:tcBorders/>
          </w:tcPr>
          <w:p>
            <w:pPr>
              <w:pStyle w:val="TableContents"/>
              <w:bidi w:val="0"/>
              <w:spacing w:before="0" w:after="283"/>
              <w:jc w:val="center"/>
              <w:rPr/>
            </w:pPr>
            <w:r>
              <w:rPr/>
              <w:t>August 12, 2026</w:t>
            </w:r>
          </w:p>
        </w:tc>
      </w:tr>
      <w:tr>
        <w:trPr>
          <w:trHeight w:val="240" w:hRule="atLeast"/>
        </w:trPr>
        <w:tc>
          <w:tcPr>
            <w:tcW w:w="3901" w:type="dxa"/>
            <w:tcBorders/>
            <w:vAlign w:val="center"/>
          </w:tcPr>
          <w:p>
            <w:pPr>
              <w:pStyle w:val="TableContents"/>
              <w:bidi w:val="0"/>
              <w:spacing w:before="0" w:after="283"/>
              <w:jc w:val="left"/>
              <w:rPr>
                <w:sz w:val="4"/>
                <w:szCs w:val="4"/>
              </w:rPr>
            </w:pPr>
            <w:r>
              <w:rPr>
                <w:sz w:val="4"/>
                <w:szCs w:val="4"/>
              </w:rPr>
            </w:r>
          </w:p>
        </w:tc>
        <w:tc>
          <w:tcPr>
            <w:tcW w:w="4337"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901" w:type="dxa"/>
            <w:tcBorders/>
            <w:vAlign w:val="bottom"/>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Adam Levy</w:t>
            </w:r>
          </w:p>
          <w:p>
            <w:pPr>
              <w:pStyle w:val="TableContents"/>
              <w:bidi w:val="0"/>
              <w:spacing w:before="0" w:after="20"/>
              <w:jc w:val="center"/>
              <w:rPr>
                <w:rFonts w:ascii="Times New Roman" w:hAnsi="Times New Roman"/>
                <w:sz w:val="20"/>
              </w:rPr>
            </w:pPr>
            <w:r>
              <w:rPr>
                <w:rFonts w:ascii="Times New Roman" w:hAnsi="Times New Roman"/>
                <w:sz w:val="20"/>
              </w:rPr>
              <w:t>Adam Levy, Ph.D., M.B.A.</w:t>
            </w:r>
          </w:p>
        </w:tc>
        <w:tc>
          <w:tcPr>
            <w:tcW w:w="120" w:type="dxa"/>
            <w:tcBorders/>
            <w:vAlign w:val="bottom"/>
          </w:tcPr>
          <w:p>
            <w:pPr>
              <w:pStyle w:val="TableContents"/>
              <w:bidi w:val="0"/>
              <w:spacing w:before="0" w:after="283"/>
              <w:jc w:val="left"/>
              <w:rPr/>
            </w:pPr>
            <w:r>
              <w:rPr/>
              <w:t>  </w:t>
            </w:r>
          </w:p>
        </w:tc>
        <w:tc>
          <w:tcPr>
            <w:tcW w:w="4217" w:type="dxa"/>
            <w:tcBorders/>
          </w:tcPr>
          <w:p>
            <w:pPr>
              <w:pStyle w:val="TableContents"/>
              <w:bidi w:val="0"/>
              <w:spacing w:before="0" w:after="0"/>
              <w:jc w:val="center"/>
              <w:rPr>
                <w:rFonts w:ascii="Times New Roman" w:hAnsi="Times New Roman"/>
                <w:sz w:val="20"/>
              </w:rPr>
            </w:pPr>
            <w:r>
              <w:rPr>
                <w:rFonts w:ascii="Times New Roman" w:hAnsi="Times New Roman"/>
                <w:sz w:val="20"/>
              </w:rPr>
              <w:t xml:space="preserve">Chief Financial Officer </w:t>
            </w:r>
          </w:p>
          <w:p>
            <w:pPr>
              <w:pStyle w:val="TableContents"/>
              <w:bidi w:val="0"/>
              <w:spacing w:before="0" w:after="20"/>
              <w:jc w:val="center"/>
              <w:rPr>
                <w:rFonts w:ascii="Times New Roman" w:hAnsi="Times New Roman"/>
                <w:i/>
                <w:sz w:val="20"/>
              </w:rPr>
            </w:pPr>
            <w:r>
              <w:rPr>
                <w:rFonts w:ascii="Times New Roman" w:hAnsi="Times New Roman"/>
                <w:i/>
                <w:sz w:val="20"/>
              </w:rPr>
              <w:t>(Principal Financial Officer)</w:t>
            </w:r>
          </w:p>
        </w:tc>
        <w:tc>
          <w:tcPr>
            <w:tcW w:w="105" w:type="dxa"/>
            <w:tcBorders/>
            <w:vAlign w:val="bottom"/>
          </w:tcPr>
          <w:p>
            <w:pPr>
              <w:pStyle w:val="TableContents"/>
              <w:bidi w:val="0"/>
              <w:spacing w:before="0" w:after="283"/>
              <w:jc w:val="left"/>
              <w:rPr/>
            </w:pPr>
            <w:r>
              <w:rPr/>
              <w:t> </w:t>
            </w:r>
          </w:p>
        </w:tc>
        <w:tc>
          <w:tcPr>
            <w:tcW w:w="1862" w:type="dxa"/>
            <w:tcBorders/>
          </w:tcPr>
          <w:p>
            <w:pPr>
              <w:pStyle w:val="TableContents"/>
              <w:bidi w:val="0"/>
              <w:spacing w:before="0" w:after="283"/>
              <w:jc w:val="center"/>
              <w:rPr/>
            </w:pPr>
            <w:r>
              <w:rPr/>
              <w:t>August 12, 2026</w:t>
            </w:r>
          </w:p>
        </w:tc>
      </w:tr>
      <w:tr>
        <w:trPr>
          <w:trHeight w:val="240" w:hRule="atLeast"/>
        </w:trPr>
        <w:tc>
          <w:tcPr>
            <w:tcW w:w="3901" w:type="dxa"/>
            <w:tcBorders/>
            <w:vAlign w:val="center"/>
          </w:tcPr>
          <w:p>
            <w:pPr>
              <w:pStyle w:val="TableContents"/>
              <w:bidi w:val="0"/>
              <w:spacing w:before="0" w:after="283"/>
              <w:jc w:val="left"/>
              <w:rPr>
                <w:sz w:val="4"/>
                <w:szCs w:val="4"/>
              </w:rPr>
            </w:pPr>
            <w:r>
              <w:rPr>
                <w:sz w:val="4"/>
                <w:szCs w:val="4"/>
              </w:rPr>
            </w:r>
          </w:p>
        </w:tc>
        <w:tc>
          <w:tcPr>
            <w:tcW w:w="4337"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901" w:type="dxa"/>
            <w:tcBorders/>
            <w:vAlign w:val="bottom"/>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Katharine Peterson</w:t>
            </w:r>
          </w:p>
          <w:p>
            <w:pPr>
              <w:pStyle w:val="TableContents"/>
              <w:bidi w:val="0"/>
              <w:spacing w:before="0" w:after="20"/>
              <w:jc w:val="center"/>
              <w:rPr>
                <w:rFonts w:ascii="Times New Roman" w:hAnsi="Times New Roman"/>
                <w:sz w:val="20"/>
              </w:rPr>
            </w:pPr>
            <w:r>
              <w:rPr>
                <w:rFonts w:ascii="Times New Roman" w:hAnsi="Times New Roman"/>
                <w:sz w:val="20"/>
              </w:rPr>
              <w:t>Katharine Peterson</w:t>
            </w:r>
          </w:p>
        </w:tc>
        <w:tc>
          <w:tcPr>
            <w:tcW w:w="120" w:type="dxa"/>
            <w:tcBorders/>
            <w:vAlign w:val="bottom"/>
          </w:tcPr>
          <w:p>
            <w:pPr>
              <w:pStyle w:val="TableContents"/>
              <w:bidi w:val="0"/>
              <w:spacing w:before="0" w:after="283"/>
              <w:jc w:val="left"/>
              <w:rPr/>
            </w:pPr>
            <w:r>
              <w:rPr/>
              <w:t>  </w:t>
            </w:r>
          </w:p>
        </w:tc>
        <w:tc>
          <w:tcPr>
            <w:tcW w:w="4217" w:type="dxa"/>
            <w:tcBorders/>
          </w:tcPr>
          <w:p>
            <w:pPr>
              <w:pStyle w:val="TableContents"/>
              <w:bidi w:val="0"/>
              <w:spacing w:before="0" w:after="0"/>
              <w:jc w:val="center"/>
              <w:rPr>
                <w:rFonts w:ascii="Times New Roman" w:hAnsi="Times New Roman"/>
                <w:sz w:val="20"/>
              </w:rPr>
            </w:pPr>
            <w:r>
              <w:rPr>
                <w:rFonts w:ascii="Times New Roman" w:hAnsi="Times New Roman"/>
                <w:sz w:val="20"/>
              </w:rPr>
              <w:t xml:space="preserve">Chief Accounting Officer </w:t>
            </w:r>
          </w:p>
          <w:p>
            <w:pPr>
              <w:pStyle w:val="TableContents"/>
              <w:bidi w:val="0"/>
              <w:spacing w:before="0" w:after="20"/>
              <w:jc w:val="center"/>
              <w:rPr>
                <w:rFonts w:ascii="Times New Roman" w:hAnsi="Times New Roman"/>
                <w:i/>
                <w:sz w:val="20"/>
              </w:rPr>
            </w:pPr>
            <w:r>
              <w:rPr>
                <w:rFonts w:ascii="Times New Roman" w:hAnsi="Times New Roman"/>
                <w:i/>
                <w:sz w:val="20"/>
              </w:rPr>
              <w:t>(Principal Accounting Officer)</w:t>
            </w:r>
          </w:p>
        </w:tc>
        <w:tc>
          <w:tcPr>
            <w:tcW w:w="105" w:type="dxa"/>
            <w:tcBorders/>
            <w:vAlign w:val="bottom"/>
          </w:tcPr>
          <w:p>
            <w:pPr>
              <w:pStyle w:val="TableContents"/>
              <w:bidi w:val="0"/>
              <w:spacing w:before="0" w:after="283"/>
              <w:jc w:val="left"/>
              <w:rPr/>
            </w:pPr>
            <w:r>
              <w:rPr/>
              <w:t> </w:t>
            </w:r>
          </w:p>
        </w:tc>
        <w:tc>
          <w:tcPr>
            <w:tcW w:w="1862" w:type="dxa"/>
            <w:tcBorders/>
          </w:tcPr>
          <w:p>
            <w:pPr>
              <w:pStyle w:val="TableContents"/>
              <w:bidi w:val="0"/>
              <w:spacing w:before="0" w:after="283"/>
              <w:jc w:val="center"/>
              <w:rPr/>
            </w:pPr>
            <w:r>
              <w:rPr/>
              <w:t>August 12, 2026</w:t>
            </w:r>
          </w:p>
        </w:tc>
      </w:tr>
      <w:tr>
        <w:trPr>
          <w:trHeight w:val="240" w:hRule="atLeast"/>
        </w:trPr>
        <w:tc>
          <w:tcPr>
            <w:tcW w:w="3901" w:type="dxa"/>
            <w:tcBorders/>
            <w:vAlign w:val="center"/>
          </w:tcPr>
          <w:p>
            <w:pPr>
              <w:pStyle w:val="TableContents"/>
              <w:bidi w:val="0"/>
              <w:spacing w:before="0" w:after="283"/>
              <w:jc w:val="left"/>
              <w:rPr>
                <w:sz w:val="4"/>
                <w:szCs w:val="4"/>
              </w:rPr>
            </w:pPr>
            <w:r>
              <w:rPr>
                <w:sz w:val="4"/>
                <w:szCs w:val="4"/>
              </w:rPr>
            </w:r>
          </w:p>
        </w:tc>
        <w:tc>
          <w:tcPr>
            <w:tcW w:w="4337"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901" w:type="dxa"/>
            <w:tcBorders/>
            <w:vAlign w:val="bottom"/>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Charles Baum</w:t>
            </w:r>
          </w:p>
          <w:p>
            <w:pPr>
              <w:pStyle w:val="TableContents"/>
              <w:bidi w:val="0"/>
              <w:spacing w:before="0" w:after="20"/>
              <w:jc w:val="center"/>
              <w:rPr>
                <w:rFonts w:ascii="Times New Roman" w:hAnsi="Times New Roman"/>
                <w:sz w:val="20"/>
              </w:rPr>
            </w:pPr>
            <w:r>
              <w:rPr>
                <w:rFonts w:ascii="Times New Roman" w:hAnsi="Times New Roman"/>
                <w:sz w:val="20"/>
              </w:rPr>
              <w:t>Charles Baum, M.D., Ph.D.</w:t>
            </w:r>
          </w:p>
        </w:tc>
        <w:tc>
          <w:tcPr>
            <w:tcW w:w="120" w:type="dxa"/>
            <w:tcBorders/>
            <w:vAlign w:val="bottom"/>
          </w:tcPr>
          <w:p>
            <w:pPr>
              <w:pStyle w:val="TableContents"/>
              <w:bidi w:val="0"/>
              <w:spacing w:before="0" w:after="283"/>
              <w:jc w:val="left"/>
              <w:rPr/>
            </w:pPr>
            <w:r>
              <w:rPr/>
              <w:t>  </w:t>
            </w:r>
          </w:p>
        </w:tc>
        <w:tc>
          <w:tcPr>
            <w:tcW w:w="4217"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05" w:type="dxa"/>
            <w:tcBorders/>
            <w:vAlign w:val="bottom"/>
          </w:tcPr>
          <w:p>
            <w:pPr>
              <w:pStyle w:val="TableContents"/>
              <w:bidi w:val="0"/>
              <w:spacing w:before="0" w:after="283"/>
              <w:jc w:val="left"/>
              <w:rPr/>
            </w:pPr>
            <w:r>
              <w:rPr/>
              <w:t> </w:t>
            </w:r>
          </w:p>
        </w:tc>
        <w:tc>
          <w:tcPr>
            <w:tcW w:w="1862" w:type="dxa"/>
            <w:tcBorders/>
          </w:tcPr>
          <w:p>
            <w:pPr>
              <w:pStyle w:val="TableContents"/>
              <w:bidi w:val="0"/>
              <w:spacing w:before="0" w:after="283"/>
              <w:jc w:val="center"/>
              <w:rPr/>
            </w:pPr>
            <w:r>
              <w:rPr/>
              <w:t>August 12, 2026</w:t>
            </w:r>
          </w:p>
        </w:tc>
      </w:tr>
      <w:tr>
        <w:trPr>
          <w:trHeight w:val="240" w:hRule="atLeast"/>
        </w:trPr>
        <w:tc>
          <w:tcPr>
            <w:tcW w:w="3901" w:type="dxa"/>
            <w:tcBorders/>
            <w:vAlign w:val="center"/>
          </w:tcPr>
          <w:p>
            <w:pPr>
              <w:pStyle w:val="TableContents"/>
              <w:bidi w:val="0"/>
              <w:spacing w:before="0" w:after="283"/>
              <w:jc w:val="left"/>
              <w:rPr>
                <w:sz w:val="4"/>
                <w:szCs w:val="4"/>
              </w:rPr>
            </w:pPr>
            <w:r>
              <w:rPr>
                <w:sz w:val="4"/>
                <w:szCs w:val="4"/>
              </w:rPr>
            </w:r>
          </w:p>
        </w:tc>
        <w:tc>
          <w:tcPr>
            <w:tcW w:w="4337"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901" w:type="dxa"/>
            <w:tcBorders/>
            <w:vAlign w:val="bottom"/>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Derek DiRocco</w:t>
            </w:r>
          </w:p>
          <w:p>
            <w:pPr>
              <w:pStyle w:val="TableContents"/>
              <w:bidi w:val="0"/>
              <w:spacing w:before="0" w:after="20"/>
              <w:jc w:val="center"/>
              <w:rPr>
                <w:rFonts w:ascii="Times New Roman" w:hAnsi="Times New Roman"/>
                <w:sz w:val="20"/>
              </w:rPr>
            </w:pPr>
            <w:r>
              <w:rPr>
                <w:rFonts w:ascii="Times New Roman" w:hAnsi="Times New Roman"/>
                <w:sz w:val="20"/>
              </w:rPr>
              <w:t>Derek DiRocco, Ph.D.</w:t>
            </w:r>
          </w:p>
        </w:tc>
        <w:tc>
          <w:tcPr>
            <w:tcW w:w="120" w:type="dxa"/>
            <w:tcBorders/>
            <w:vAlign w:val="bottom"/>
          </w:tcPr>
          <w:p>
            <w:pPr>
              <w:pStyle w:val="TableContents"/>
              <w:bidi w:val="0"/>
              <w:spacing w:before="0" w:after="283"/>
              <w:jc w:val="left"/>
              <w:rPr/>
            </w:pPr>
            <w:r>
              <w:rPr/>
              <w:t>  </w:t>
            </w:r>
          </w:p>
        </w:tc>
        <w:tc>
          <w:tcPr>
            <w:tcW w:w="4217"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05" w:type="dxa"/>
            <w:tcBorders/>
            <w:vAlign w:val="bottom"/>
          </w:tcPr>
          <w:p>
            <w:pPr>
              <w:pStyle w:val="TableContents"/>
              <w:bidi w:val="0"/>
              <w:spacing w:before="0" w:after="283"/>
              <w:jc w:val="left"/>
              <w:rPr/>
            </w:pPr>
            <w:r>
              <w:rPr/>
              <w:t> </w:t>
            </w:r>
          </w:p>
        </w:tc>
        <w:tc>
          <w:tcPr>
            <w:tcW w:w="1862" w:type="dxa"/>
            <w:tcBorders/>
          </w:tcPr>
          <w:p>
            <w:pPr>
              <w:pStyle w:val="TableContents"/>
              <w:bidi w:val="0"/>
              <w:spacing w:before="0" w:after="283"/>
              <w:jc w:val="center"/>
              <w:rPr/>
            </w:pPr>
            <w:r>
              <w:rPr/>
              <w:t>August 12, 2026</w:t>
            </w:r>
          </w:p>
        </w:tc>
      </w:tr>
      <w:tr>
        <w:trPr>
          <w:trHeight w:val="240" w:hRule="atLeast"/>
        </w:trPr>
        <w:tc>
          <w:tcPr>
            <w:tcW w:w="3901" w:type="dxa"/>
            <w:tcBorders/>
            <w:vAlign w:val="center"/>
          </w:tcPr>
          <w:p>
            <w:pPr>
              <w:pStyle w:val="TableContents"/>
              <w:bidi w:val="0"/>
              <w:spacing w:before="0" w:after="283"/>
              <w:jc w:val="left"/>
              <w:rPr>
                <w:sz w:val="4"/>
                <w:szCs w:val="4"/>
              </w:rPr>
            </w:pPr>
            <w:r>
              <w:rPr>
                <w:sz w:val="4"/>
                <w:szCs w:val="4"/>
              </w:rPr>
            </w:r>
          </w:p>
        </w:tc>
        <w:tc>
          <w:tcPr>
            <w:tcW w:w="4337"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901" w:type="dxa"/>
            <w:tcBorders/>
            <w:vAlign w:val="bottom"/>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Ivana Magovcevic-Liebisch</w:t>
            </w:r>
          </w:p>
          <w:p>
            <w:pPr>
              <w:pStyle w:val="TableContents"/>
              <w:bidi w:val="0"/>
              <w:spacing w:before="0" w:after="20"/>
              <w:jc w:val="center"/>
              <w:rPr>
                <w:rFonts w:ascii="Times New Roman" w:hAnsi="Times New Roman"/>
                <w:sz w:val="20"/>
              </w:rPr>
            </w:pPr>
            <w:r>
              <w:rPr>
                <w:rFonts w:ascii="Times New Roman" w:hAnsi="Times New Roman"/>
                <w:sz w:val="20"/>
              </w:rPr>
              <w:t>Ivana Magovcevic-Liebisch, Ph.D., J.D.</w:t>
            </w:r>
          </w:p>
        </w:tc>
        <w:tc>
          <w:tcPr>
            <w:tcW w:w="120" w:type="dxa"/>
            <w:tcBorders/>
            <w:vAlign w:val="bottom"/>
          </w:tcPr>
          <w:p>
            <w:pPr>
              <w:pStyle w:val="TableContents"/>
              <w:bidi w:val="0"/>
              <w:spacing w:before="0" w:after="283"/>
              <w:jc w:val="left"/>
              <w:rPr/>
            </w:pPr>
            <w:r>
              <w:rPr/>
              <w:t>  </w:t>
            </w:r>
          </w:p>
        </w:tc>
        <w:tc>
          <w:tcPr>
            <w:tcW w:w="4217"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05" w:type="dxa"/>
            <w:tcBorders/>
            <w:vAlign w:val="bottom"/>
          </w:tcPr>
          <w:p>
            <w:pPr>
              <w:pStyle w:val="TableContents"/>
              <w:bidi w:val="0"/>
              <w:spacing w:before="0" w:after="283"/>
              <w:jc w:val="left"/>
              <w:rPr/>
            </w:pPr>
            <w:r>
              <w:rPr/>
              <w:t> </w:t>
            </w:r>
          </w:p>
        </w:tc>
        <w:tc>
          <w:tcPr>
            <w:tcW w:w="1862" w:type="dxa"/>
            <w:tcBorders/>
          </w:tcPr>
          <w:p>
            <w:pPr>
              <w:pStyle w:val="TableContents"/>
              <w:bidi w:val="0"/>
              <w:spacing w:before="0" w:after="283"/>
              <w:jc w:val="center"/>
              <w:rPr/>
            </w:pPr>
            <w:r>
              <w:rPr/>
              <w:t>August 12, 2026</w:t>
            </w:r>
          </w:p>
        </w:tc>
      </w:tr>
      <w:tr>
        <w:trPr>
          <w:trHeight w:val="240" w:hRule="atLeast"/>
        </w:trPr>
        <w:tc>
          <w:tcPr>
            <w:tcW w:w="3901" w:type="dxa"/>
            <w:tcBorders/>
            <w:vAlign w:val="center"/>
          </w:tcPr>
          <w:p>
            <w:pPr>
              <w:pStyle w:val="TableContents"/>
              <w:bidi w:val="0"/>
              <w:spacing w:before="0" w:after="283"/>
              <w:jc w:val="left"/>
              <w:rPr>
                <w:sz w:val="4"/>
                <w:szCs w:val="4"/>
              </w:rPr>
            </w:pPr>
            <w:r>
              <w:rPr>
                <w:sz w:val="4"/>
                <w:szCs w:val="4"/>
              </w:rPr>
            </w:r>
          </w:p>
        </w:tc>
        <w:tc>
          <w:tcPr>
            <w:tcW w:w="4337"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901" w:type="dxa"/>
            <w:tcBorders/>
            <w:vAlign w:val="bottom"/>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Kristina Masson</w:t>
            </w:r>
          </w:p>
          <w:p>
            <w:pPr>
              <w:pStyle w:val="TableContents"/>
              <w:bidi w:val="0"/>
              <w:spacing w:before="0" w:after="20"/>
              <w:jc w:val="center"/>
              <w:rPr>
                <w:rFonts w:ascii="Times New Roman" w:hAnsi="Times New Roman"/>
                <w:sz w:val="20"/>
              </w:rPr>
            </w:pPr>
            <w:r>
              <w:rPr>
                <w:rFonts w:ascii="Times New Roman" w:hAnsi="Times New Roman"/>
                <w:sz w:val="20"/>
              </w:rPr>
              <w:t>Kristina Masson, Ph.D., M.B.A.</w:t>
            </w:r>
          </w:p>
        </w:tc>
        <w:tc>
          <w:tcPr>
            <w:tcW w:w="120" w:type="dxa"/>
            <w:tcBorders/>
            <w:vAlign w:val="bottom"/>
          </w:tcPr>
          <w:p>
            <w:pPr>
              <w:pStyle w:val="TableContents"/>
              <w:bidi w:val="0"/>
              <w:spacing w:before="0" w:after="283"/>
              <w:jc w:val="left"/>
              <w:rPr/>
            </w:pPr>
            <w:r>
              <w:rPr/>
              <w:t>  </w:t>
            </w:r>
          </w:p>
        </w:tc>
        <w:tc>
          <w:tcPr>
            <w:tcW w:w="4217" w:type="dxa"/>
            <w:tcBorders/>
          </w:tcPr>
          <w:p>
            <w:pPr>
              <w:pStyle w:val="TableContents"/>
              <w:bidi w:val="0"/>
              <w:spacing w:before="0" w:after="0"/>
              <w:jc w:val="center"/>
              <w:rPr>
                <w:rFonts w:ascii="Times New Roman" w:hAnsi="Times New Roman"/>
                <w:sz w:val="20"/>
              </w:rPr>
            </w:pPr>
            <w:r>
              <w:rPr>
                <w:rFonts w:ascii="Times New Roman" w:hAnsi="Times New Roman"/>
                <w:sz w:val="20"/>
              </w:rPr>
              <w:t>Executive Vice President, Business Operations, Director</w:t>
            </w:r>
          </w:p>
        </w:tc>
        <w:tc>
          <w:tcPr>
            <w:tcW w:w="105" w:type="dxa"/>
            <w:tcBorders/>
            <w:vAlign w:val="bottom"/>
          </w:tcPr>
          <w:p>
            <w:pPr>
              <w:pStyle w:val="TableContents"/>
              <w:bidi w:val="0"/>
              <w:spacing w:before="0" w:after="283"/>
              <w:jc w:val="left"/>
              <w:rPr/>
            </w:pPr>
            <w:r>
              <w:rPr/>
              <w:t> </w:t>
            </w:r>
          </w:p>
        </w:tc>
        <w:tc>
          <w:tcPr>
            <w:tcW w:w="1862" w:type="dxa"/>
            <w:tcBorders/>
          </w:tcPr>
          <w:p>
            <w:pPr>
              <w:pStyle w:val="TableContents"/>
              <w:bidi w:val="0"/>
              <w:spacing w:before="0" w:after="283"/>
              <w:jc w:val="center"/>
              <w:rPr/>
            </w:pPr>
            <w:r>
              <w:rPr/>
              <w:t>August 12, 2026</w:t>
            </w:r>
          </w:p>
        </w:tc>
      </w:tr>
      <w:tr>
        <w:trPr>
          <w:trHeight w:val="240" w:hRule="atLeast"/>
        </w:trPr>
        <w:tc>
          <w:tcPr>
            <w:tcW w:w="3901" w:type="dxa"/>
            <w:tcBorders/>
            <w:vAlign w:val="center"/>
          </w:tcPr>
          <w:p>
            <w:pPr>
              <w:pStyle w:val="TableContents"/>
              <w:bidi w:val="0"/>
              <w:spacing w:before="0" w:after="283"/>
              <w:jc w:val="left"/>
              <w:rPr>
                <w:sz w:val="4"/>
                <w:szCs w:val="4"/>
              </w:rPr>
            </w:pPr>
            <w:r>
              <w:rPr>
                <w:sz w:val="4"/>
                <w:szCs w:val="4"/>
              </w:rPr>
            </w:r>
          </w:p>
        </w:tc>
        <w:tc>
          <w:tcPr>
            <w:tcW w:w="4337"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901" w:type="dxa"/>
            <w:tcBorders/>
            <w:vAlign w:val="bottom"/>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Santhosh Palani</w:t>
            </w:r>
          </w:p>
          <w:p>
            <w:pPr>
              <w:pStyle w:val="TableContents"/>
              <w:bidi w:val="0"/>
              <w:spacing w:before="0" w:after="20"/>
              <w:jc w:val="center"/>
              <w:rPr>
                <w:rFonts w:ascii="Times New Roman" w:hAnsi="Times New Roman"/>
                <w:sz w:val="20"/>
              </w:rPr>
            </w:pPr>
            <w:r>
              <w:rPr>
                <w:rFonts w:ascii="Times New Roman" w:hAnsi="Times New Roman"/>
                <w:sz w:val="20"/>
              </w:rPr>
              <w:t>Santhosh Palani, Ph.D., CFA</w:t>
            </w:r>
          </w:p>
        </w:tc>
        <w:tc>
          <w:tcPr>
            <w:tcW w:w="120" w:type="dxa"/>
            <w:tcBorders/>
            <w:vAlign w:val="bottom"/>
          </w:tcPr>
          <w:p>
            <w:pPr>
              <w:pStyle w:val="TableContents"/>
              <w:bidi w:val="0"/>
              <w:spacing w:before="0" w:after="283"/>
              <w:jc w:val="left"/>
              <w:rPr/>
            </w:pPr>
            <w:r>
              <w:rPr/>
              <w:t>  </w:t>
            </w:r>
          </w:p>
        </w:tc>
        <w:tc>
          <w:tcPr>
            <w:tcW w:w="4217"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05" w:type="dxa"/>
            <w:tcBorders/>
            <w:vAlign w:val="bottom"/>
          </w:tcPr>
          <w:p>
            <w:pPr>
              <w:pStyle w:val="TableContents"/>
              <w:bidi w:val="0"/>
              <w:spacing w:before="0" w:after="283"/>
              <w:jc w:val="left"/>
              <w:rPr/>
            </w:pPr>
            <w:r>
              <w:rPr/>
              <w:t> </w:t>
            </w:r>
          </w:p>
        </w:tc>
        <w:tc>
          <w:tcPr>
            <w:tcW w:w="1862" w:type="dxa"/>
            <w:tcBorders/>
          </w:tcPr>
          <w:p>
            <w:pPr>
              <w:pStyle w:val="TableContents"/>
              <w:bidi w:val="0"/>
              <w:spacing w:before="0" w:after="283"/>
              <w:jc w:val="center"/>
              <w:rPr/>
            </w:pPr>
            <w:r>
              <w:rPr/>
              <w:t>August 12, 2026</w:t>
            </w:r>
          </w:p>
        </w:tc>
      </w:tr>
      <w:tr>
        <w:trPr>
          <w:trHeight w:val="240" w:hRule="atLeast"/>
        </w:trPr>
        <w:tc>
          <w:tcPr>
            <w:tcW w:w="3901" w:type="dxa"/>
            <w:tcBorders/>
            <w:vAlign w:val="center"/>
          </w:tcPr>
          <w:p>
            <w:pPr>
              <w:pStyle w:val="TableContents"/>
              <w:bidi w:val="0"/>
              <w:spacing w:before="0" w:after="283"/>
              <w:jc w:val="left"/>
              <w:rPr>
                <w:sz w:val="4"/>
                <w:szCs w:val="4"/>
              </w:rPr>
            </w:pPr>
            <w:r>
              <w:rPr>
                <w:sz w:val="4"/>
                <w:szCs w:val="4"/>
              </w:rPr>
            </w:r>
          </w:p>
        </w:tc>
        <w:tc>
          <w:tcPr>
            <w:tcW w:w="4337"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901" w:type="dxa"/>
            <w:tcBorders/>
            <w:vAlign w:val="bottom"/>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Sharon Shacham</w:t>
            </w:r>
          </w:p>
          <w:p>
            <w:pPr>
              <w:pStyle w:val="TableContents"/>
              <w:bidi w:val="0"/>
              <w:spacing w:before="0" w:after="20"/>
              <w:jc w:val="center"/>
              <w:rPr>
                <w:rFonts w:ascii="Times New Roman" w:hAnsi="Times New Roman"/>
                <w:sz w:val="20"/>
              </w:rPr>
            </w:pPr>
            <w:r>
              <w:rPr>
                <w:rFonts w:ascii="Times New Roman" w:hAnsi="Times New Roman"/>
                <w:sz w:val="20"/>
              </w:rPr>
              <w:t>Sharon Shacham, Ph.D., M.B.A.</w:t>
            </w:r>
          </w:p>
        </w:tc>
        <w:tc>
          <w:tcPr>
            <w:tcW w:w="120" w:type="dxa"/>
            <w:tcBorders/>
            <w:vAlign w:val="bottom"/>
          </w:tcPr>
          <w:p>
            <w:pPr>
              <w:pStyle w:val="TableContents"/>
              <w:bidi w:val="0"/>
              <w:spacing w:before="0" w:after="283"/>
              <w:jc w:val="left"/>
              <w:rPr/>
            </w:pPr>
            <w:r>
              <w:rPr/>
              <w:t>  </w:t>
            </w:r>
          </w:p>
        </w:tc>
        <w:tc>
          <w:tcPr>
            <w:tcW w:w="4217"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05" w:type="dxa"/>
            <w:tcBorders/>
            <w:vAlign w:val="bottom"/>
          </w:tcPr>
          <w:p>
            <w:pPr>
              <w:pStyle w:val="TableContents"/>
              <w:bidi w:val="0"/>
              <w:spacing w:before="0" w:after="283"/>
              <w:jc w:val="left"/>
              <w:rPr/>
            </w:pPr>
            <w:r>
              <w:rPr/>
              <w:t> </w:t>
            </w:r>
          </w:p>
        </w:tc>
        <w:tc>
          <w:tcPr>
            <w:tcW w:w="1862" w:type="dxa"/>
            <w:tcBorders/>
          </w:tcPr>
          <w:p>
            <w:pPr>
              <w:pStyle w:val="TableContents"/>
              <w:bidi w:val="0"/>
              <w:spacing w:before="0" w:after="283"/>
              <w:jc w:val="center"/>
              <w:rPr/>
            </w:pPr>
            <w:r>
              <w:rPr/>
              <w:t>August 12, 2026</w:t>
            </w:r>
          </w:p>
        </w:tc>
      </w:tr>
      <w:tr>
        <w:trPr>
          <w:trHeight w:val="240" w:hRule="atLeast"/>
        </w:trPr>
        <w:tc>
          <w:tcPr>
            <w:tcW w:w="3901" w:type="dxa"/>
            <w:tcBorders/>
            <w:vAlign w:val="center"/>
          </w:tcPr>
          <w:p>
            <w:pPr>
              <w:pStyle w:val="TableContents"/>
              <w:bidi w:val="0"/>
              <w:spacing w:before="0" w:after="283"/>
              <w:jc w:val="left"/>
              <w:rPr>
                <w:sz w:val="4"/>
                <w:szCs w:val="4"/>
              </w:rPr>
            </w:pPr>
            <w:r>
              <w:rPr>
                <w:sz w:val="4"/>
                <w:szCs w:val="4"/>
              </w:rPr>
            </w:r>
          </w:p>
        </w:tc>
        <w:tc>
          <w:tcPr>
            <w:tcW w:w="4337" w:type="dxa"/>
            <w:gridSpan w:val="2"/>
            <w:tcBorders/>
            <w:vAlign w:val="center"/>
          </w:tcPr>
          <w:p>
            <w:pPr>
              <w:pStyle w:val="TableContents"/>
              <w:bidi w:val="0"/>
              <w:spacing w:before="0" w:after="283"/>
              <w:jc w:val="left"/>
              <w:rPr>
                <w:sz w:val="4"/>
                <w:szCs w:val="4"/>
              </w:rPr>
            </w:pPr>
            <w:r>
              <w:rPr>
                <w:sz w:val="4"/>
                <w:szCs w:val="4"/>
              </w:rPr>
            </w:r>
          </w:p>
        </w:tc>
        <w:tc>
          <w:tcPr>
            <w:tcW w:w="1967" w:type="dxa"/>
            <w:gridSpan w:val="2"/>
            <w:tcBorders/>
            <w:vAlign w:val="center"/>
          </w:tcPr>
          <w:p>
            <w:pPr>
              <w:pStyle w:val="TableContents"/>
              <w:bidi w:val="0"/>
              <w:spacing w:before="0" w:after="283"/>
              <w:jc w:val="left"/>
              <w:rPr>
                <w:sz w:val="4"/>
                <w:szCs w:val="4"/>
              </w:rPr>
            </w:pPr>
            <w:r>
              <w:rPr>
                <w:sz w:val="4"/>
                <w:szCs w:val="4"/>
              </w:rPr>
            </w:r>
          </w:p>
        </w:tc>
      </w:tr>
      <w:tr>
        <w:trPr/>
        <w:tc>
          <w:tcPr>
            <w:tcW w:w="3901" w:type="dxa"/>
            <w:tcBorders/>
            <w:vAlign w:val="bottom"/>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Michael Tomsicek</w:t>
            </w:r>
          </w:p>
          <w:p>
            <w:pPr>
              <w:pStyle w:val="TableContents"/>
              <w:bidi w:val="0"/>
              <w:spacing w:before="0" w:after="20"/>
              <w:jc w:val="center"/>
              <w:rPr>
                <w:rFonts w:ascii="Times New Roman" w:hAnsi="Times New Roman"/>
                <w:sz w:val="20"/>
              </w:rPr>
            </w:pPr>
            <w:r>
              <w:rPr>
                <w:rFonts w:ascii="Times New Roman" w:hAnsi="Times New Roman"/>
                <w:sz w:val="20"/>
              </w:rPr>
              <w:t>Michael Tomsicek, M.B.A.</w:t>
            </w:r>
          </w:p>
        </w:tc>
        <w:tc>
          <w:tcPr>
            <w:tcW w:w="120" w:type="dxa"/>
            <w:tcBorders/>
            <w:vAlign w:val="bottom"/>
          </w:tcPr>
          <w:p>
            <w:pPr>
              <w:pStyle w:val="TableContents"/>
              <w:bidi w:val="0"/>
              <w:spacing w:before="0" w:after="283"/>
              <w:jc w:val="left"/>
              <w:rPr/>
            </w:pPr>
            <w:r>
              <w:rPr/>
              <w:t>  </w:t>
            </w:r>
          </w:p>
        </w:tc>
        <w:tc>
          <w:tcPr>
            <w:tcW w:w="4217"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05" w:type="dxa"/>
            <w:tcBorders/>
            <w:vAlign w:val="bottom"/>
          </w:tcPr>
          <w:p>
            <w:pPr>
              <w:pStyle w:val="TableContents"/>
              <w:bidi w:val="0"/>
              <w:spacing w:before="0" w:after="283"/>
              <w:jc w:val="left"/>
              <w:rPr/>
            </w:pPr>
            <w:r>
              <w:rPr/>
              <w:t> </w:t>
            </w:r>
          </w:p>
        </w:tc>
        <w:tc>
          <w:tcPr>
            <w:tcW w:w="1862" w:type="dxa"/>
            <w:tcBorders/>
          </w:tcPr>
          <w:p>
            <w:pPr>
              <w:pStyle w:val="TableContents"/>
              <w:bidi w:val="0"/>
              <w:spacing w:before="0" w:after="283"/>
              <w:jc w:val="center"/>
              <w:rPr/>
            </w:pPr>
            <w:r>
              <w:rPr/>
              <w:t>August 12, 2026</w:t>
            </w:r>
          </w:p>
        </w:tc>
      </w:tr>
    </w:tbl>
    <w:p>
      <w:pPr>
        <w:pStyle w:val="TextBody"/>
        <w:bidi w:val="0"/>
        <w:spacing w:before="0" w:after="0"/>
        <w:jc w:val="right"/>
        <w:rPr>
          <w:rFonts w:ascii="Times New Roman" w:hAnsi="Times New Roman"/>
          <w:b/>
          <w:sz w:val="20"/>
        </w:rPr>
      </w:pPr>
      <w:bookmarkStart w:id="3" w:name="d47579dex51.htm"/>
      <w:bookmarkStart w:id="4" w:name="ksd47579dex51"/>
      <w:bookmarkEnd w:id="3"/>
      <w:bookmarkEnd w:id="4"/>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58"/>
        <w:gridCol w:w="108"/>
        <w:gridCol w:w="3450"/>
        <w:gridCol w:w="122"/>
        <w:gridCol w:w="2967"/>
      </w:tblGrid>
      <w:tr>
        <w:trPr/>
        <w:tc>
          <w:tcPr>
            <w:tcW w:w="3558"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45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967" w:type="dxa"/>
            <w:tcBorders/>
            <w:vAlign w:val="center"/>
          </w:tcPr>
          <w:p>
            <w:pPr>
              <w:pStyle w:val="TableContents"/>
              <w:bidi w:val="0"/>
              <w:spacing w:before="0" w:after="283"/>
              <w:jc w:val="left"/>
              <w:rPr>
                <w:sz w:val="4"/>
                <w:szCs w:val="4"/>
              </w:rPr>
            </w:pPr>
            <w:r>
              <w:rPr>
                <w:sz w:val="4"/>
                <w:szCs w:val="4"/>
              </w:rPr>
            </w:r>
          </w:p>
        </w:tc>
      </w:tr>
      <w:tr>
        <w:trPr/>
        <w:tc>
          <w:tcPr>
            <w:tcW w:w="3558" w:type="dxa"/>
            <w:tcBorders/>
          </w:tcPr>
          <w:p>
            <w:pPr>
              <w:pStyle w:val="TableContents"/>
              <w:bidi w:val="0"/>
              <w:spacing w:before="0" w:after="20"/>
              <w:jc w:val="left"/>
              <w:rPr/>
            </w:pPr>
            <w:r>
              <w:rPr/>
              <w:drawing>
                <wp:inline distT="0" distB="0" distL="0" distR="0">
                  <wp:extent cx="1162050" cy="304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8"/>
                          <a:stretch>
                            <a:fillRect/>
                          </a:stretch>
                        </pic:blipFill>
                        <pic:spPr bwMode="auto">
                          <a:xfrm>
                            <a:off x="0" y="0"/>
                            <a:ext cx="1162050" cy="304800"/>
                          </a:xfrm>
                          <a:prstGeom prst="rect">
                            <a:avLst/>
                          </a:prstGeom>
                        </pic:spPr>
                      </pic:pic>
                    </a:graphicData>
                  </a:graphic>
                </wp:inline>
              </w:drawing>
            </w:r>
            <w:r>
              <w:rPr/>
              <w:t xml:space="preserve"> </w:t>
            </w:r>
          </w:p>
        </w:tc>
        <w:tc>
          <w:tcPr>
            <w:tcW w:w="108" w:type="dxa"/>
            <w:tcBorders/>
            <w:vAlign w:val="bottom"/>
          </w:tcPr>
          <w:p>
            <w:pPr>
              <w:pStyle w:val="TableContents"/>
              <w:bidi w:val="0"/>
              <w:spacing w:before="0" w:after="283"/>
              <w:jc w:val="left"/>
              <w:rPr/>
            </w:pPr>
            <w:r>
              <w:rPr/>
              <w:t> </w:t>
            </w:r>
          </w:p>
        </w:tc>
        <w:tc>
          <w:tcPr>
            <w:tcW w:w="3450" w:type="dxa"/>
            <w:tcBorders/>
          </w:tcPr>
          <w:p>
            <w:pPr>
              <w:pStyle w:val="TableContents"/>
              <w:bidi w:val="0"/>
              <w:spacing w:before="0" w:after="0"/>
              <w:jc w:val="left"/>
              <w:rPr>
                <w:rFonts w:ascii="Times New Roman" w:hAnsi="Times New Roman"/>
                <w:sz w:val="20"/>
              </w:rPr>
            </w:pPr>
            <w:r>
              <w:rPr>
                <w:rFonts w:ascii="Times New Roman" w:hAnsi="Times New Roman"/>
                <w:sz w:val="20"/>
              </w:rPr>
              <w:t>SIDLEY AUSTIN LLP</w:t>
            </w:r>
          </w:p>
          <w:p>
            <w:pPr>
              <w:pStyle w:val="TableContents"/>
              <w:bidi w:val="0"/>
              <w:spacing w:before="0" w:after="0"/>
              <w:jc w:val="left"/>
              <w:rPr>
                <w:rFonts w:ascii="Times New Roman" w:hAnsi="Times New Roman"/>
                <w:sz w:val="20"/>
              </w:rPr>
            </w:pPr>
            <w:r>
              <w:rPr>
                <w:rFonts w:ascii="Times New Roman" w:hAnsi="Times New Roman"/>
                <w:sz w:val="20"/>
              </w:rPr>
              <w:t>787 SEVENTH AVENUE</w:t>
            </w:r>
          </w:p>
          <w:p>
            <w:pPr>
              <w:pStyle w:val="TableContents"/>
              <w:bidi w:val="0"/>
              <w:spacing w:before="0" w:after="0"/>
              <w:jc w:val="left"/>
              <w:rPr>
                <w:rFonts w:ascii="Times New Roman" w:hAnsi="Times New Roman"/>
                <w:sz w:val="20"/>
              </w:rPr>
            </w:pPr>
            <w:r>
              <w:rPr>
                <w:rFonts w:ascii="Times New Roman" w:hAnsi="Times New Roman"/>
                <w:sz w:val="20"/>
              </w:rPr>
              <w:t xml:space="preserve">NEW YORK, NY 10019 </w:t>
            </w:r>
          </w:p>
          <w:p>
            <w:pPr>
              <w:pStyle w:val="TableContents"/>
              <w:bidi w:val="0"/>
              <w:spacing w:before="0" w:after="0"/>
              <w:jc w:val="left"/>
              <w:rPr>
                <w:rFonts w:ascii="Times New Roman" w:hAnsi="Times New Roman"/>
                <w:sz w:val="20"/>
              </w:rPr>
            </w:pPr>
            <w:r>
              <w:rPr>
                <w:rFonts w:ascii="Times New Roman" w:hAnsi="Times New Roman"/>
                <w:sz w:val="20"/>
              </w:rPr>
              <w:t>+1 212 839 5300</w:t>
            </w:r>
          </w:p>
          <w:p>
            <w:pPr>
              <w:pStyle w:val="TableContents"/>
              <w:bidi w:val="0"/>
              <w:spacing w:before="0" w:after="0"/>
              <w:jc w:val="left"/>
              <w:rPr>
                <w:rFonts w:ascii="Times New Roman" w:hAnsi="Times New Roman"/>
                <w:sz w:val="20"/>
              </w:rPr>
            </w:pPr>
            <w:r>
              <w:rPr>
                <w:rFonts w:ascii="Times New Roman" w:hAnsi="Times New Roman"/>
                <w:sz w:val="20"/>
              </w:rPr>
              <w:t>+1 212 839 5599 FAX</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AMERICA  ASIA PACIFIC  EUROPE</w:t>
            </w:r>
          </w:p>
        </w:tc>
        <w:tc>
          <w:tcPr>
            <w:tcW w:w="122" w:type="dxa"/>
            <w:tcBorders/>
            <w:vAlign w:val="bottom"/>
          </w:tcPr>
          <w:p>
            <w:pPr>
              <w:pStyle w:val="TableContents"/>
              <w:bidi w:val="0"/>
              <w:spacing w:before="0" w:after="283"/>
              <w:jc w:val="left"/>
              <w:rPr/>
            </w:pPr>
            <w:r>
              <w:rPr/>
              <w:t>  </w:t>
            </w:r>
          </w:p>
        </w:tc>
        <w:tc>
          <w:tcPr>
            <w:tcW w:w="2967"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 xml:space="preserve">August 12, 2026 </w:t>
      </w:r>
    </w:p>
    <w:p>
      <w:pPr>
        <w:pStyle w:val="TextBody"/>
        <w:bidi w:val="0"/>
        <w:spacing w:before="240" w:after="0"/>
        <w:jc w:val="left"/>
        <w:rPr>
          <w:rFonts w:ascii="Times New Roman" w:hAnsi="Times New Roman"/>
          <w:sz w:val="20"/>
        </w:rPr>
      </w:pPr>
      <w:r>
        <w:rPr>
          <w:rFonts w:ascii="Times New Roman" w:hAnsi="Times New Roman"/>
          <w:sz w:val="20"/>
        </w:rPr>
        <w:t xml:space="preserve">Acrivon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480 Arsenal Way, Suite 100 </w:t>
      </w:r>
    </w:p>
    <w:p>
      <w:pPr>
        <w:pStyle w:val="TextBody"/>
        <w:bidi w:val="0"/>
        <w:spacing w:before="0" w:after="0"/>
        <w:jc w:val="left"/>
        <w:rPr>
          <w:rFonts w:ascii="Times New Roman" w:hAnsi="Times New Roman"/>
          <w:sz w:val="20"/>
        </w:rPr>
      </w:pPr>
      <w:r>
        <w:rPr>
          <w:rFonts w:ascii="Times New Roman" w:hAnsi="Times New Roman"/>
          <w:sz w:val="20"/>
        </w:rPr>
        <w:t xml:space="preserve">Watertown, Massachusetts 02472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3,000,000 shares of Common Stock, $0.001 par value per share (“Common Stock”)</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refer to the Registration Statement on Form S-8 (the “Registration Statement”) being filed by Acrivon Therapeutics, Inc., a Delaware corporation (the “Company”), with the Securities and Exchange Commission under the Securities Act of 1933, as amended (the “Securities Act”), relating to the registration of 3,000,000 shares of Common Stock which may be issued under the Acrivon Therapeutics, Inc. Amended and Restated 2022 Equity Incentive Plan (the “A&amp;R 2022 Plan,” and the aggregate shares of Common Stock to be registered under the Registration Statement, the “Registered Shares”).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is being delivered in accordance with the requirements of Item 601(b)(5) of Regulation S-K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have examined the Registration Statement, the Company’s Second Amended and Restated Certificate of Incorporation, the Company’s Amended and Restated Bylaws, the A&amp;R 2022 Plan, the resolutions adopted by the board of directors of the Company relating to the Registration Statement and the A&amp;R 2022 Plan, and the proposal adopted by the stockholders of the Company at the Company’s 2026 Annual Meeting of Stockholders relating to the A&amp;R 2022 Plan. We have also examined originals, or copies of originals certified to our satisfaction, of such agreements, documents, certificates and statements of the Company and other corporate documents and instruments, and have examined such questions of law, as we have considered relevant and necessary as a basis for this opinion letter. We have assumed the authenticity of all documents submitted to us as originals, the genuineness of all signatures, the legal capacity of all persons and the conformity with the original documents of any copies thereof submitted to us for examination. As to facts relevant to the opinions expressed herein, we have relied without independent investigation or verification upon, and assumed the accuracy and completeness of, certificates, letters and oral and written statements and representations of public officials and officers and other representatives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16"/>
        </w:rPr>
      </w:pPr>
      <w:r>
        <w:rPr>
          <w:rFonts w:ascii="Times New Roman" w:hAnsi="Times New Roman"/>
          <w:sz w:val="16"/>
        </w:rPr>
        <w:t xml:space="preserve">Sidley Austin LLP is a limited liability partnership practicing in affiliation with other Sidley Austin partnerships.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162050" cy="304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9"/>
                    <a:stretch>
                      <a:fillRect/>
                    </a:stretch>
                  </pic:blipFill>
                  <pic:spPr bwMode="auto">
                    <a:xfrm>
                      <a:off x="0" y="0"/>
                      <a:ext cx="1162050" cy="3048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Acrivon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August 12,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Based on the foregoing, we are of the opinion that each Registered Share that is newly issued pursuant to the A&amp;R 2022 Plan will be validly issued, fully paid and non-assessable when: (i) the Registration Statement, as finally amended, shall have become effective under the Securities Act; (ii) such Registered Share shall have been duly issued and delivered in accordance with the A&amp;R 2022 Plan; and (iii) a certificate representing such Registered Share shall have been duly executed, countersigned and registered and duly delivered to the person entitled thereto against payment of the agreed consideration therefor (in an amount not less than the par value thereof) or, if any such Registered Share is to be issued in uncertificated form, the Company’s books shall reflect the issuance of such Registered Share to the person entitled thereto against payment of the agreed consideration therefor (in an amount not less than the par value thereof), all in accordance with the A&amp;R 2022 Plan.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is limited to the General Corporation Law of the State of Delaware. We express no opinion as to the laws, rules or regulations of any other jurisdiction, including, without limitation, the federal laws of the United States of America or any state securities or blue sky laws.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letter as an exhibit to the Registration Statement and to all references to our Firm included in or made a part of the Registration Statement. In giving such consent, we do not thereby admit that we are in the category of persons whose consent is required under Section 7 of the Securities Act.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Sidley Austin LLP</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Sidley Austin LLP</w:t>
            </w:r>
          </w:p>
        </w:tc>
      </w:tr>
    </w:tbl>
    <w:p>
      <w:pPr>
        <w:pStyle w:val="TextBody"/>
        <w:bidi w:val="0"/>
        <w:spacing w:before="0" w:after="0"/>
        <w:jc w:val="right"/>
        <w:rPr>
          <w:rFonts w:ascii="Times New Roman" w:hAnsi="Times New Roman"/>
          <w:b/>
          <w:sz w:val="20"/>
        </w:rPr>
      </w:pPr>
      <w:bookmarkStart w:id="5" w:name="d47579dex232.htm"/>
      <w:bookmarkStart w:id="6" w:name="ksd47579dex232"/>
      <w:bookmarkEnd w:id="5"/>
      <w:bookmarkEnd w:id="6"/>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this Registration Statement on Form S-8 of Acrivon Therapeutics, Inc. of our report dated March 19, 2026 relating to the financial statements, which appears in Acrivon Therapeutics, Inc.’s Annual Report on Form 10-K for the year ended December 31, 2025.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PricewaterhouseCoopers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Boston, Massachusetts</w:t>
            </w:r>
          </w:p>
        </w:tc>
      </w:tr>
      <w:tr>
        <w:trPr/>
        <w:tc>
          <w:tcPr>
            <w:tcW w:w="4082" w:type="dxa"/>
            <w:tcBorders/>
          </w:tcPr>
          <w:p>
            <w:pPr>
              <w:pStyle w:val="TableContents"/>
              <w:bidi w:val="0"/>
              <w:spacing w:before="0" w:after="283"/>
              <w:jc w:val="left"/>
              <w:rPr/>
            </w:pPr>
            <w:r>
              <w:rPr/>
              <w:t>August 12,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p>
    <w:p>
      <w:pPr>
        <w:pStyle w:val="Normal"/>
        <w:bidi w:val="0"/>
        <w:spacing w:before="0" w:after="0"/>
        <w:jc w:val="left"/>
        <w:rPr>
          <w:sz w:val="4"/>
          <w:szCs w:val="4"/>
        </w:rPr>
      </w:pPr>
      <w:r>
        <w:rPr>
          <w:sz w:val="4"/>
          <w:szCs w:val="4"/>
        </w:rPr>
      </w:r>
      <w:bookmarkStart w:id="7" w:name="d47579dexfilingfees.htm"/>
      <w:bookmarkStart w:id="8" w:name="ksd47579dexfilingfees"/>
      <w:bookmarkStart w:id="9" w:name="d47579dexfilingfees.htm"/>
      <w:bookmarkStart w:id="10" w:name="ksd47579dexfilingfees"/>
      <w:bookmarkEnd w:id="9"/>
      <w:bookmarkEnd w:id="10"/>
      <w:r>
        <w:br w:type="page"/>
      </w:r>
    </w:p>
    <w:tbl>
      <w:tblPr>
        <w:tblW w:w="3577" w:type="dxa"/>
        <w:jc w:val="left"/>
        <w:tblInd w:w="0" w:type="dxa"/>
        <w:tblLayout w:type="fixed"/>
        <w:tblCellMar>
          <w:top w:w="28" w:type="dxa"/>
          <w:left w:w="28" w:type="dxa"/>
          <w:bottom w:w="28" w:type="dxa"/>
          <w:right w:w="28" w:type="dxa"/>
        </w:tblCellMar>
      </w:tblPr>
      <w:tblGrid>
        <w:gridCol w:w="3423"/>
        <w:gridCol w:w="154"/>
      </w:tblGrid>
      <w:tr>
        <w:trPr/>
        <w:tc>
          <w:tcPr>
            <w:tcW w:w="3577"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3"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3" w:type="dxa"/>
            <w:tcBorders/>
            <w:vAlign w:val="center"/>
          </w:tcPr>
          <w:p>
            <w:pPr>
              <w:pStyle w:val="TableContents"/>
              <w:bidi w:val="0"/>
              <w:spacing w:before="0" w:after="283"/>
              <w:jc w:val="left"/>
              <w:rPr>
                <w:b/>
              </w:rPr>
            </w:pPr>
            <w:r>
              <w:rPr>
                <w:b/>
              </w:rPr>
              <w:t xml:space="preserve">Acrivon Therapeutics,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63"/>
        <w:gridCol w:w="1054"/>
        <w:gridCol w:w="1303"/>
        <w:gridCol w:w="1212"/>
        <w:gridCol w:w="1251"/>
        <w:gridCol w:w="1608"/>
        <w:gridCol w:w="1127"/>
        <w:gridCol w:w="1445"/>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63"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54"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303"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12"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51"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08"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45"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63" w:type="dxa"/>
            <w:tcBorders/>
            <w:shd w:fill="E7E7E2" w:val="clear"/>
            <w:vAlign w:val="center"/>
          </w:tcPr>
          <w:p>
            <w:pPr>
              <w:pStyle w:val="TableContents"/>
              <w:bidi w:val="0"/>
              <w:spacing w:before="0" w:after="283"/>
              <w:jc w:val="left"/>
              <w:rPr/>
            </w:pPr>
            <w:r>
              <w:rPr/>
              <w:t xml:space="preserve">Equity </w:t>
            </w:r>
          </w:p>
        </w:tc>
        <w:tc>
          <w:tcPr>
            <w:tcW w:w="1054" w:type="dxa"/>
            <w:tcBorders/>
            <w:shd w:fill="E7E7E2" w:val="clear"/>
            <w:vAlign w:val="center"/>
          </w:tcPr>
          <w:p>
            <w:pPr>
              <w:pStyle w:val="TableContents"/>
              <w:bidi w:val="0"/>
              <w:spacing w:before="0" w:after="283"/>
              <w:jc w:val="left"/>
              <w:rPr/>
            </w:pPr>
            <w:r>
              <w:rPr/>
              <w:t xml:space="preserve">Common stock, $0.001 par value </w:t>
            </w:r>
          </w:p>
        </w:tc>
        <w:tc>
          <w:tcPr>
            <w:tcW w:w="1303" w:type="dxa"/>
            <w:tcBorders/>
            <w:shd w:fill="E7E7E2" w:val="clear"/>
            <w:vAlign w:val="center"/>
          </w:tcPr>
          <w:p>
            <w:pPr>
              <w:pStyle w:val="TableContents"/>
              <w:bidi w:val="0"/>
              <w:spacing w:before="0" w:after="283"/>
              <w:jc w:val="center"/>
              <w:rPr/>
            </w:pPr>
            <w:r>
              <w:rPr/>
              <w:t xml:space="preserve">Other </w:t>
            </w:r>
          </w:p>
        </w:tc>
        <w:tc>
          <w:tcPr>
            <w:tcW w:w="1212" w:type="dxa"/>
            <w:tcBorders/>
            <w:shd w:fill="E7E7E2" w:val="clear"/>
            <w:vAlign w:val="center"/>
          </w:tcPr>
          <w:p>
            <w:pPr>
              <w:pStyle w:val="TableContents"/>
              <w:bidi w:val="0"/>
              <w:spacing w:before="0" w:after="283"/>
              <w:jc w:val="right"/>
              <w:rPr/>
            </w:pPr>
            <w:r>
              <w:rPr/>
              <w:t xml:space="preserve">3,000,000 </w:t>
            </w:r>
          </w:p>
        </w:tc>
        <w:tc>
          <w:tcPr>
            <w:tcW w:w="1251" w:type="dxa"/>
            <w:tcBorders/>
            <w:shd w:fill="E7E7E2" w:val="clear"/>
            <w:vAlign w:val="center"/>
          </w:tcPr>
          <w:p>
            <w:pPr>
              <w:pStyle w:val="TableContents"/>
              <w:bidi w:val="0"/>
              <w:spacing w:before="0" w:after="283"/>
              <w:jc w:val="right"/>
              <w:rPr/>
            </w:pPr>
            <w:r>
              <w:rPr/>
              <w:t xml:space="preserve">$ 1.62 </w:t>
            </w:r>
          </w:p>
        </w:tc>
        <w:tc>
          <w:tcPr>
            <w:tcW w:w="1608" w:type="dxa"/>
            <w:tcBorders/>
            <w:shd w:fill="E7E7E2" w:val="clear"/>
            <w:vAlign w:val="center"/>
          </w:tcPr>
          <w:p>
            <w:pPr>
              <w:pStyle w:val="TableContents"/>
              <w:bidi w:val="0"/>
              <w:spacing w:before="0" w:after="283"/>
              <w:jc w:val="right"/>
              <w:rPr/>
            </w:pPr>
            <w:r>
              <w:rPr/>
              <w:t xml:space="preserve">$ 4,860,000.00 </w:t>
            </w:r>
          </w:p>
        </w:tc>
        <w:tc>
          <w:tcPr>
            <w:tcW w:w="1127" w:type="dxa"/>
            <w:tcBorders/>
            <w:shd w:fill="E7E7E2" w:val="clear"/>
            <w:vAlign w:val="center"/>
          </w:tcPr>
          <w:p>
            <w:pPr>
              <w:pStyle w:val="TableContents"/>
              <w:bidi w:val="0"/>
              <w:spacing w:before="0" w:after="283"/>
              <w:jc w:val="right"/>
              <w:rPr/>
            </w:pPr>
            <w:r>
              <w:rPr/>
              <w:t xml:space="preserve">0.0001381 </w:t>
            </w:r>
          </w:p>
        </w:tc>
        <w:tc>
          <w:tcPr>
            <w:tcW w:w="1445" w:type="dxa"/>
            <w:tcBorders/>
            <w:shd w:fill="E7E7E2" w:val="clear"/>
            <w:vAlign w:val="center"/>
          </w:tcPr>
          <w:p>
            <w:pPr>
              <w:pStyle w:val="TableContents"/>
              <w:bidi w:val="0"/>
              <w:spacing w:before="0" w:after="283"/>
              <w:jc w:val="right"/>
              <w:rPr/>
            </w:pPr>
            <w:r>
              <w:rPr/>
              <w:t xml:space="preserve">$ 671.17 </w:t>
            </w:r>
          </w:p>
        </w:tc>
      </w:tr>
      <w:tr>
        <w:trPr/>
        <w:tc>
          <w:tcPr>
            <w:tcW w:w="4774" w:type="dxa"/>
            <w:gridSpan w:val="5"/>
            <w:tcBorders/>
            <w:vAlign w:val="center"/>
          </w:tcPr>
          <w:p>
            <w:pPr>
              <w:pStyle w:val="TableContents"/>
              <w:bidi w:val="0"/>
              <w:spacing w:before="0" w:after="0"/>
              <w:ind w:left="0" w:right="0" w:hanging="0"/>
              <w:jc w:val="right"/>
              <w:rPr/>
            </w:pPr>
            <w:r>
              <w:rPr/>
              <w:t>Total Offering Amounts:</w:t>
            </w:r>
          </w:p>
        </w:tc>
        <w:tc>
          <w:tcPr>
            <w:tcW w:w="125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0"/>
              <w:ind w:left="0" w:right="0" w:hanging="0"/>
              <w:jc w:val="right"/>
              <w:rPr/>
            </w:pPr>
            <w:bookmarkStart w:id="11" w:name="MaxAggtOfferingPrice"/>
            <w:bookmarkEnd w:id="11"/>
            <w:r>
              <w:rPr/>
              <w:t xml:space="preserve">$ 4,860,000.00 </w:t>
            </w:r>
          </w:p>
        </w:tc>
        <w:tc>
          <w:tcPr>
            <w:tcW w:w="1127" w:type="dxa"/>
            <w:tcBorders/>
            <w:vAlign w:val="center"/>
          </w:tcPr>
          <w:p>
            <w:pPr>
              <w:pStyle w:val="TableContents"/>
              <w:bidi w:val="0"/>
              <w:spacing w:before="0" w:after="283"/>
              <w:jc w:val="left"/>
              <w:rPr>
                <w:sz w:val="4"/>
                <w:szCs w:val="4"/>
              </w:rPr>
            </w:pPr>
            <w:r>
              <w:rPr>
                <w:sz w:val="4"/>
                <w:szCs w:val="4"/>
              </w:rPr>
            </w:r>
          </w:p>
        </w:tc>
        <w:tc>
          <w:tcPr>
            <w:tcW w:w="1445"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$ 671.17 </w:t>
            </w:r>
          </w:p>
        </w:tc>
      </w:tr>
      <w:tr>
        <w:trPr/>
        <w:tc>
          <w:tcPr>
            <w:tcW w:w="4774" w:type="dxa"/>
            <w:gridSpan w:val="5"/>
            <w:tcBorders/>
            <w:vAlign w:val="center"/>
          </w:tcPr>
          <w:p>
            <w:pPr>
              <w:pStyle w:val="TableContents"/>
              <w:bidi w:val="0"/>
              <w:spacing w:before="0" w:after="0"/>
              <w:ind w:left="0" w:right="0" w:hanging="0"/>
              <w:jc w:val="right"/>
              <w:rPr/>
            </w:pPr>
            <w:r>
              <w:rPr/>
              <w:t xml:space="preserve">Total Fee Offsets: </w:t>
            </w:r>
          </w:p>
        </w:tc>
        <w:tc>
          <w:tcPr>
            <w:tcW w:w="125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774" w:type="dxa"/>
            <w:gridSpan w:val="5"/>
            <w:tcBorders/>
            <w:vAlign w:val="center"/>
          </w:tcPr>
          <w:p>
            <w:pPr>
              <w:pStyle w:val="TableContents"/>
              <w:bidi w:val="0"/>
              <w:spacing w:before="0" w:after="0"/>
              <w:ind w:left="0" w:right="0" w:hanging="0"/>
              <w:jc w:val="right"/>
              <w:rPr/>
            </w:pPr>
            <w:r>
              <w:rPr/>
              <w:t xml:space="preserve">Net Fee Due: </w:t>
            </w:r>
          </w:p>
        </w:tc>
        <w:tc>
          <w:tcPr>
            <w:tcW w:w="125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0"/>
              <w:ind w:left="0" w:right="0" w:hanging="0"/>
              <w:jc w:val="right"/>
              <w:rPr/>
            </w:pPr>
            <w:bookmarkStart w:id="14" w:name="NetFeeAmt"/>
            <w:bookmarkEnd w:id="14"/>
            <w:r>
              <w:rPr/>
              <w:t xml:space="preserve">$ 671.17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7"/>
        <w:gridCol w:w="8708"/>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(a) Acrivon Therapeutics, Inc., a Delaware corporation (the "Registrant"), is filing this Registration Statement to register 3,000,000 shares of common stock, par value $0.001 per share (the "Common Stock"), for issuance under the Acrivon Therapeutics, Inc. Amended and Restated 2022 Equity Incentive Plan (the "A&amp;R 2022 Plan"). Pursuant to Rule 416(a) under the Securities Act of 1933, as amended (the "Securities Act"), this Registration Statement also covers such additional and indeterminate number of shares of Common Stock, which may become issuable pursuant to the provisions of the A&amp;R 2022 Plan relating to adjustments for changes resulting from a stock dividend, stock split, recapitalization or other similar transaction effected without the receipt of consideration which results in an increase in the number of outstanding shares of Common Stock. (b) The offering price per unit and in the aggregate are estimated in accordance with Rule 457(h) under the Securities Act solely for the purpose of calculating the registration fee, based on the average of the high and low sales prices of the Common Stock reported on the Nasdaq Stock Market on August 5, 2026.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81174/000119312522287229/d402028ds8.htm" TargetMode="External"/><Relationship Id="rId3" Type="http://schemas.openxmlformats.org/officeDocument/2006/relationships/hyperlink" Target="http://www.sec.gov/Archives/edgar/data/1781174/000119312523082963/d465410ds8.htm" TargetMode="External"/><Relationship Id="rId4" Type="http://schemas.openxmlformats.org/officeDocument/2006/relationships/hyperlink" Target="http://www.sec.gov/Archives/edgar/data/1781174/000119312524081596/d800198ds8.htm" TargetMode="External"/><Relationship Id="rId5" Type="http://schemas.openxmlformats.org/officeDocument/2006/relationships/hyperlink" Target="http://www.sec.gov/Archives/edgar/data/1781174/000119312525066369/d945264ds8.htm" TargetMode="External"/><Relationship Id="rId6" Type="http://schemas.openxmlformats.org/officeDocument/2006/relationships/hyperlink" Target="http://www.sec.gov/Archives/edgar/data/1781174/000119312526115150/d390264ds8.htm" TargetMode="External"/><Relationship Id="rId7" Type="http://schemas.openxmlformats.org/officeDocument/2006/relationships/hyperlink" Target="http://www.sec.gov/Archives/edgar/data/../../../ix?doc=/Archives/edgar/data/0001781174/000119312526115123/acrv-20251231.htm" TargetMode="External"/><Relationship Id="rId8" Type="http://schemas.openxmlformats.org/officeDocument/2006/relationships/hyperlink" Target="http://www.sec.gov/Archives/edgar/data/1781174/000119312526221634/acrv-20260331.htm" TargetMode="External"/><Relationship Id="rId9" Type="http://schemas.openxmlformats.org/officeDocument/2006/relationships/hyperlink" Target="http://www.sec.gov/Archives/edgar/data/../../../ix?doc=/Archives/edgar/data/0001781174/000119312526346819/acrv-20260630.htm" TargetMode="External"/><Relationship Id="rId10" Type="http://schemas.openxmlformats.org/officeDocument/2006/relationships/hyperlink" Target="http://www.sec.gov/Archives/edgar/data/../../../ix?doc=/Archives/edgar/data/0001781174/000119312526007007/acrv-20260108.htm" TargetMode="External"/><Relationship Id="rId11" Type="http://schemas.openxmlformats.org/officeDocument/2006/relationships/hyperlink" Target="http://www.sec.gov/Archives/edgar/data/../../../ix?doc=/Archives/edgar/data/0001781174/000119312526085516/d111455d8k.htm" TargetMode="External"/><Relationship Id="rId12" Type="http://schemas.openxmlformats.org/officeDocument/2006/relationships/hyperlink" Target="http://www.sec.gov/Archives/edgar/data/../../../ix?doc=/Archives/edgar/data/0001781174/000119312526274410/acrv-20260617.htm" TargetMode="External"/><Relationship Id="rId13" Type="http://schemas.openxmlformats.org/officeDocument/2006/relationships/hyperlink" Target="http://www.sec.gov/Archives/edgar/data/1781174/000119312522279053/d383050d8a12b.htm" TargetMode="External"/><Relationship Id="rId14" Type="http://schemas.openxmlformats.org/officeDocument/2006/relationships/hyperlink" Target="http://www.sec.gov/Archives/edgar/data/1781174/000119312526115123/acrv-ex4_1.htm" TargetMode="External"/><Relationship Id="rId15" Type="http://schemas.openxmlformats.org/officeDocument/2006/relationships/hyperlink" Target="http://www.sec.gov/Archives/edgar/data/1781174/000119312522287727/d410573dex31.htm" TargetMode="External"/><Relationship Id="rId16" Type="http://schemas.openxmlformats.org/officeDocument/2006/relationships/hyperlink" Target="http://www.sec.gov/Archives/edgar/data/1781174/000119312522287727/d410573dex32.htm" TargetMode="External"/><Relationship Id="rId17" Type="http://schemas.openxmlformats.org/officeDocument/2006/relationships/hyperlink" Target="http://www.sec.gov/Archives/edgar/data/1781174/000119312526274410/acrv-ex10_1.htm" TargetMode="External"/><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2592</Words>
  <Characters>14148</Characters>
  <CharactersWithSpaces>16764</CharactersWithSpaces>
  <Paragraphs>310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EX-23.2</dc:title>
</cp:coreProperties>
</file>