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BAUM CHARLES M</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Acrivon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ACRV</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05/18/2026</w:t>
            </w:r>
          </w:p>
        </w:tc>
        <w:tc>
          <w:tcPr>
            <w:tcW w:w="1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ACRIVON THERAPEUTICS, INC.</w:t>
            </w:r>
          </w:p>
        </w:tc>
        <w:tc>
          <w:tcPr>
            <w:tcW w:w="2440" w:type="dxa"/>
            <w:vAlign w:val="bottom"/>
            <w:gridSpan w:val="3"/>
            <w:vMerge w:val="continue"/>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480 ARSENAL WAY, SUITE 100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9,366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9,366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("RSUs"). Each RSU represents a contingent right to receive one share of the Issuer's Common Stock. These RSUs shall vest in full on May 18, 2027, subject to the Reporting Person's continuous service through such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Adam D. Levy,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9824" TargetMode="External"/><Relationship Id="rId14" Type="http://schemas.openxmlformats.org/officeDocument/2006/relationships/hyperlink" Target="http://www.sec.gov/cgi-bin/browse-edgar?action=getcompany&amp;CIK=00017811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2026-05-20T15:39:17Z</dcterms:created>
  <dcterms:modified xsi:type="dcterms:W3CDTF">2026-05-20T15:39:17Z</dcterms:modified>
</cp:coreProperties>
</file>